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973D8">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default" w:ascii="Times New Roman" w:hAnsi="Times New Roman" w:eastAsia="方正小标宋简体" w:cs="Times New Roman"/>
          <w:bCs/>
          <w:color w:val="0C0C0C"/>
          <w:kern w:val="0"/>
          <w:sz w:val="44"/>
          <w:szCs w:val="44"/>
          <w:shd w:val="clear" w:color="auto" w:fill="FFFFFF"/>
          <w:lang w:val="en-US" w:eastAsia="zh-CN" w:bidi="ar"/>
        </w:rPr>
      </w:pPr>
      <w:r>
        <w:rPr>
          <w:rFonts w:hint="default" w:ascii="Times New Roman" w:hAnsi="Times New Roman" w:eastAsia="方正小标宋简体" w:cs="Times New Roman"/>
          <w:bCs/>
          <w:color w:val="0C0C0C"/>
          <w:kern w:val="0"/>
          <w:sz w:val="44"/>
          <w:szCs w:val="44"/>
          <w:u w:val="none"/>
          <w:shd w:val="clear" w:color="auto" w:fill="FFFFFF"/>
          <w:lang w:val="en-US" w:eastAsia="zh-CN" w:bidi="ar"/>
        </w:rPr>
        <w:t>南安市</w:t>
      </w:r>
      <w:r>
        <w:rPr>
          <w:rFonts w:hint="default" w:ascii="Times New Roman" w:hAnsi="Times New Roman" w:eastAsia="方正小标宋简体" w:cs="Times New Roman"/>
          <w:bCs/>
          <w:color w:val="0C0C0C"/>
          <w:kern w:val="0"/>
          <w:sz w:val="44"/>
          <w:szCs w:val="44"/>
          <w:shd w:val="clear" w:color="auto" w:fill="FFFFFF"/>
          <w:lang w:val="en-US" w:eastAsia="zh-CN" w:bidi="ar"/>
        </w:rPr>
        <w:t>第五次全市经济普查公报（第</w:t>
      </w:r>
      <w:r>
        <w:rPr>
          <w:rFonts w:hint="eastAsia" w:eastAsia="方正小标宋简体" w:cs="Times New Roman"/>
          <w:bCs/>
          <w:color w:val="0C0C0C"/>
          <w:kern w:val="0"/>
          <w:sz w:val="44"/>
          <w:szCs w:val="44"/>
          <w:shd w:val="clear" w:color="auto" w:fill="FFFFFF"/>
          <w:lang w:val="en-US" w:eastAsia="zh-CN" w:bidi="ar"/>
        </w:rPr>
        <w:t>四</w:t>
      </w:r>
      <w:r>
        <w:rPr>
          <w:rFonts w:hint="default" w:ascii="Times New Roman" w:hAnsi="Times New Roman" w:eastAsia="方正小标宋简体" w:cs="Times New Roman"/>
          <w:bCs/>
          <w:color w:val="0C0C0C"/>
          <w:kern w:val="0"/>
          <w:sz w:val="44"/>
          <w:szCs w:val="44"/>
          <w:shd w:val="clear" w:color="auto" w:fill="FFFFFF"/>
          <w:lang w:val="en-US" w:eastAsia="zh-CN" w:bidi="ar"/>
        </w:rPr>
        <w:t>号）</w:t>
      </w:r>
    </w:p>
    <w:p w14:paraId="1B8C3C72">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default" w:ascii="Times New Roman" w:hAnsi="Times New Roman" w:eastAsia="方正小标宋简体" w:cs="Times New Roman"/>
          <w:bCs/>
          <w:color w:val="0C0C0C"/>
          <w:kern w:val="0"/>
          <w:sz w:val="44"/>
          <w:szCs w:val="44"/>
          <w:shd w:val="clear" w:color="auto" w:fill="FFFFFF"/>
          <w:lang w:val="en-US" w:eastAsia="zh-CN" w:bidi="ar"/>
        </w:rPr>
      </w:pPr>
      <w:r>
        <w:rPr>
          <w:rFonts w:hint="default" w:ascii="Times New Roman" w:hAnsi="Times New Roman" w:eastAsia="方正小标宋简体" w:cs="Times New Roman"/>
          <w:bCs/>
          <w:color w:val="0C0C0C"/>
          <w:kern w:val="0"/>
          <w:sz w:val="44"/>
          <w:szCs w:val="44"/>
          <w:shd w:val="clear" w:color="auto" w:fill="FFFFFF"/>
          <w:lang w:val="en-US" w:eastAsia="zh-CN" w:bidi="ar"/>
        </w:rPr>
        <w:t>——第三产业基本情况之二</w:t>
      </w:r>
    </w:p>
    <w:p w14:paraId="7A0CE087">
      <w:pPr>
        <w:autoSpaceDE w:val="0"/>
        <w:autoSpaceDN w:val="0"/>
        <w:spacing w:line="240" w:lineRule="auto"/>
        <w:ind w:firstLine="0" w:firstLineChars="0"/>
        <w:jc w:val="center"/>
        <w:rPr>
          <w:rFonts w:hint="default" w:ascii="Times New Roman" w:hAnsi="Times New Roman" w:eastAsia="楷体" w:cs="Times New Roman"/>
          <w:color w:val="000000"/>
          <w:kern w:val="0"/>
          <w:sz w:val="32"/>
          <w:szCs w:val="32"/>
          <w:shd w:val="clear" w:color="auto" w:fill="FFFFFF"/>
          <w:lang w:bidi="ar"/>
        </w:rPr>
      </w:pPr>
      <w:r>
        <w:rPr>
          <w:rFonts w:hint="default" w:ascii="Times New Roman" w:hAnsi="Times New Roman" w:eastAsia="楷体" w:cs="Times New Roman"/>
          <w:color w:val="000000"/>
          <w:kern w:val="0"/>
          <w:sz w:val="32"/>
          <w:szCs w:val="32"/>
          <w:shd w:val="clear" w:color="auto" w:fill="FFFFFF"/>
          <w:lang w:bidi="ar"/>
        </w:rPr>
        <w:t>南安市统计局</w:t>
      </w:r>
      <w:bookmarkStart w:id="0" w:name="_GoBack"/>
      <w:bookmarkEnd w:id="0"/>
    </w:p>
    <w:p w14:paraId="1D7C6E4A">
      <w:pPr>
        <w:autoSpaceDE w:val="0"/>
        <w:autoSpaceDN w:val="0"/>
        <w:spacing w:line="240" w:lineRule="auto"/>
        <w:ind w:firstLine="0" w:firstLineChars="0"/>
        <w:jc w:val="center"/>
        <w:rPr>
          <w:rFonts w:hint="default" w:ascii="Times New Roman" w:hAnsi="Times New Roman" w:eastAsia="楷体" w:cs="Times New Roman"/>
          <w:color w:val="000000"/>
          <w:kern w:val="0"/>
          <w:sz w:val="32"/>
          <w:szCs w:val="32"/>
          <w:shd w:val="clear" w:color="auto" w:fill="FFFFFF"/>
          <w:lang w:bidi="ar"/>
        </w:rPr>
      </w:pPr>
      <w:r>
        <w:rPr>
          <w:rFonts w:hint="default" w:ascii="Times New Roman" w:hAnsi="Times New Roman" w:eastAsia="楷体" w:cs="Times New Roman"/>
          <w:color w:val="000000"/>
          <w:kern w:val="0"/>
          <w:sz w:val="32"/>
          <w:szCs w:val="32"/>
          <w:shd w:val="clear" w:color="auto" w:fill="FFFFFF"/>
          <w:lang w:bidi="ar"/>
        </w:rPr>
        <w:t>南安市</w:t>
      </w:r>
      <w:r>
        <w:rPr>
          <w:rFonts w:hint="default" w:ascii="Times New Roman" w:hAnsi="Times New Roman" w:eastAsia="楷体" w:cs="Times New Roman"/>
          <w:color w:val="000000"/>
          <w:kern w:val="0"/>
          <w:sz w:val="32"/>
          <w:szCs w:val="32"/>
          <w:shd w:val="clear" w:color="auto" w:fill="FFFFFF"/>
          <w:lang w:eastAsia="zh-CN" w:bidi="ar"/>
        </w:rPr>
        <w:t>第五次</w:t>
      </w:r>
      <w:r>
        <w:rPr>
          <w:rFonts w:hint="default" w:ascii="Times New Roman" w:hAnsi="Times New Roman" w:eastAsia="楷体" w:cs="Times New Roman"/>
          <w:color w:val="000000"/>
          <w:kern w:val="0"/>
          <w:sz w:val="32"/>
          <w:szCs w:val="32"/>
          <w:shd w:val="clear" w:color="auto" w:fill="FFFFFF"/>
          <w:lang w:bidi="ar"/>
        </w:rPr>
        <w:t>全国经济普查领导小组办公室</w:t>
      </w:r>
    </w:p>
    <w:p w14:paraId="3B0E0E75">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baseline"/>
        <w:rPr>
          <w:rFonts w:hint="default" w:ascii="Times New Roman" w:hAnsi="Times New Roman" w:cs="Times New Roman"/>
          <w:color w:val="0C0C0C"/>
          <w:sz w:val="32"/>
          <w:szCs w:val="32"/>
          <w:lang w:val="en-US" w:eastAsia="zh-CN"/>
        </w:rPr>
      </w:pPr>
      <w:r>
        <w:rPr>
          <w:rFonts w:hint="default" w:ascii="Times New Roman" w:hAnsi="Times New Roman" w:eastAsia="楷体_GB2312" w:cs="Times New Roman"/>
          <w:color w:val="0C0C0C"/>
          <w:kern w:val="2"/>
          <w:sz w:val="32"/>
          <w:szCs w:val="32"/>
          <w:lang w:val="en-US" w:eastAsia="zh-CN" w:bidi="ar-SA"/>
        </w:rPr>
        <w:t>（2025年</w:t>
      </w:r>
      <w:r>
        <w:rPr>
          <w:rFonts w:hint="eastAsia" w:eastAsia="楷体_GB2312" w:cs="Times New Roman"/>
          <w:color w:val="0C0C0C"/>
          <w:kern w:val="2"/>
          <w:sz w:val="32"/>
          <w:szCs w:val="32"/>
          <w:lang w:val="en-US" w:eastAsia="zh-CN" w:bidi="ar-SA"/>
        </w:rPr>
        <w:t>6</w:t>
      </w:r>
      <w:r>
        <w:rPr>
          <w:rFonts w:hint="default" w:ascii="Times New Roman" w:hAnsi="Times New Roman" w:eastAsia="楷体_GB2312" w:cs="Times New Roman"/>
          <w:color w:val="0C0C0C"/>
          <w:kern w:val="2"/>
          <w:sz w:val="32"/>
          <w:szCs w:val="32"/>
          <w:lang w:val="en-US" w:eastAsia="zh-CN" w:bidi="ar-SA"/>
        </w:rPr>
        <w:t>月</w:t>
      </w:r>
      <w:r>
        <w:rPr>
          <w:rFonts w:hint="eastAsia" w:eastAsia="楷体_GB2312" w:cs="Times New Roman"/>
          <w:color w:val="0C0C0C"/>
          <w:kern w:val="2"/>
          <w:sz w:val="32"/>
          <w:szCs w:val="32"/>
          <w:lang w:val="en-US" w:eastAsia="zh-CN" w:bidi="ar-SA"/>
        </w:rPr>
        <w:t>30</w:t>
      </w:r>
      <w:r>
        <w:rPr>
          <w:rFonts w:hint="default" w:ascii="Times New Roman" w:hAnsi="Times New Roman" w:eastAsia="楷体_GB2312" w:cs="Times New Roman"/>
          <w:color w:val="0C0C0C"/>
          <w:kern w:val="2"/>
          <w:sz w:val="32"/>
          <w:szCs w:val="32"/>
          <w:lang w:val="en-US" w:eastAsia="zh-CN" w:bidi="ar-SA"/>
        </w:rPr>
        <w:t>日）</w:t>
      </w:r>
    </w:p>
    <w:p w14:paraId="2E6449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val="0"/>
        <w:spacing w:before="0" w:beforeAutospacing="0" w:after="0" w:afterAutospacing="0" w:line="300" w:lineRule="exact"/>
        <w:ind w:left="0" w:leftChars="0" w:right="0" w:firstLine="0" w:firstLineChars="0"/>
        <w:jc w:val="left"/>
        <w:textAlignment w:val="auto"/>
        <w:rPr>
          <w:rFonts w:hint="default" w:ascii="Times New Roman" w:hAnsi="Times New Roman" w:eastAsia="仿宋_GB2312" w:cs="Times New Roman"/>
          <w:color w:val="0C0C0C"/>
          <w:kern w:val="2"/>
          <w:sz w:val="32"/>
          <w:szCs w:val="32"/>
          <w:u w:val="none"/>
          <w:lang w:val="en-US" w:eastAsia="zh-CN" w:bidi="ar-SA"/>
        </w:rPr>
      </w:pPr>
    </w:p>
    <w:p w14:paraId="0FEF4BF5">
      <w:pPr>
        <w:pStyle w:val="7"/>
        <w:keepNext w:val="0"/>
        <w:keepLines w:val="0"/>
        <w:pageBreakBefore w:val="0"/>
        <w:widowControl w:val="0"/>
        <w:kinsoku/>
        <w:wordWrap/>
        <w:overflowPunct/>
        <w:topLinePunct w:val="0"/>
        <w:autoSpaceDE/>
        <w:autoSpaceDN/>
        <w:bidi w:val="0"/>
        <w:adjustRightInd/>
        <w:snapToGrid/>
        <w:spacing w:line="240" w:lineRule="auto"/>
        <w:ind w:firstLine="608"/>
        <w:textAlignment w:val="center"/>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根据第五次全</w:t>
      </w:r>
      <w:r>
        <w:rPr>
          <w:rFonts w:hint="eastAsia" w:eastAsia="仿宋_GB2312" w:cs="Times New Roman"/>
          <w:color w:val="0C0C0C"/>
          <w:spacing w:val="-6"/>
          <w:kern w:val="2"/>
          <w:sz w:val="32"/>
          <w:szCs w:val="32"/>
          <w:u w:val="none"/>
          <w:lang w:val="en-US" w:eastAsia="zh-CN" w:bidi="ar-SA"/>
        </w:rPr>
        <w:t>国</w:t>
      </w:r>
      <w:r>
        <w:rPr>
          <w:rFonts w:hint="default" w:ascii="Times New Roman" w:hAnsi="Times New Roman" w:eastAsia="仿宋_GB2312" w:cs="Times New Roman"/>
          <w:color w:val="0C0C0C"/>
          <w:spacing w:val="-6"/>
          <w:kern w:val="2"/>
          <w:sz w:val="32"/>
          <w:szCs w:val="32"/>
          <w:u w:val="none"/>
          <w:lang w:val="en-US" w:eastAsia="zh-CN" w:bidi="ar-SA"/>
        </w:rPr>
        <w:t>经济普查结果，现将我</w:t>
      </w:r>
      <w:r>
        <w:rPr>
          <w:rFonts w:hint="eastAsia" w:eastAsia="仿宋_GB2312" w:cs="Times New Roman"/>
          <w:color w:val="0C0C0C"/>
          <w:spacing w:val="-6"/>
          <w:kern w:val="2"/>
          <w:sz w:val="32"/>
          <w:szCs w:val="32"/>
          <w:u w:val="none"/>
          <w:lang w:val="en-US" w:eastAsia="zh-CN" w:bidi="ar-SA"/>
        </w:rPr>
        <w:t>市</w:t>
      </w:r>
      <w:r>
        <w:rPr>
          <w:rFonts w:hint="default" w:ascii="Times New Roman" w:hAnsi="Times New Roman" w:eastAsia="仿宋_GB2312" w:cs="Times New Roman"/>
          <w:color w:val="0C0C0C"/>
          <w:spacing w:val="-6"/>
          <w:kern w:val="2"/>
          <w:sz w:val="32"/>
          <w:szCs w:val="32"/>
          <w:u w:val="none"/>
          <w:lang w:val="en-US" w:eastAsia="zh-CN" w:bidi="ar-SA"/>
        </w:rPr>
        <w:t>第三产业中科学研究和技术服务业，水利、环境和公共设施管理业，居民服务、修理和其他服务业，教育，卫生和社会工作，文化、体育和娱乐业，公共管理、社会保障和社会组织的主要数据公布如下：</w:t>
      </w:r>
    </w:p>
    <w:p w14:paraId="0E8B74CC">
      <w:pPr>
        <w:pStyle w:val="7"/>
        <w:widowControl w:val="0"/>
        <w:spacing w:line="240" w:lineRule="auto"/>
        <w:ind w:firstLine="608"/>
        <w:textAlignment w:val="center"/>
        <w:rPr>
          <w:rFonts w:hint="default" w:ascii="Times New Roman" w:hAnsi="Times New Roman" w:eastAsia="仿宋_GB2312" w:cs="Times New Roman"/>
          <w:b w:val="0"/>
          <w:bCs/>
          <w:i w:val="0"/>
          <w:caps w:val="0"/>
          <w:color w:val="0C0C0C"/>
          <w:spacing w:val="0"/>
          <w:kern w:val="0"/>
          <w:sz w:val="32"/>
          <w:szCs w:val="32"/>
          <w:highlight w:val="none"/>
          <w:lang w:val="en-US" w:eastAsia="zh-CN" w:bidi="ar"/>
        </w:rPr>
      </w:pPr>
      <w:r>
        <w:rPr>
          <w:rFonts w:hint="default" w:ascii="Times New Roman" w:hAnsi="Times New Roman" w:eastAsia="黑体" w:cs="Times New Roman"/>
          <w:b w:val="0"/>
          <w:bCs/>
          <w:i w:val="0"/>
          <w:caps w:val="0"/>
          <w:color w:val="0C0C0C"/>
          <w:spacing w:val="0"/>
          <w:kern w:val="0"/>
          <w:sz w:val="32"/>
          <w:szCs w:val="32"/>
          <w:highlight w:val="none"/>
          <w:lang w:val="en-US" w:eastAsia="zh-CN" w:bidi="ar"/>
        </w:rPr>
        <w:t>一、科学研究和技术服务业</w:t>
      </w:r>
    </w:p>
    <w:p w14:paraId="27751117">
      <w:pPr>
        <w:pBdr>
          <w:top w:val="none" w:color="auto" w:sz="0" w:space="0"/>
          <w:left w:val="none" w:color="auto" w:sz="0" w:space="0"/>
          <w:bottom w:val="none" w:color="auto" w:sz="0" w:space="0"/>
          <w:right w:val="none" w:color="auto" w:sz="0" w:space="0"/>
        </w:pBdr>
        <w:spacing w:beforeLines="0"/>
        <w:ind w:firstLine="632"/>
        <w:jc w:val="left"/>
        <w:textAlignment w:val="auto"/>
        <w:rPr>
          <w:rFonts w:hint="default" w:ascii="Times New Roman" w:hAnsi="Times New Roman" w:eastAsia="楷体_GB2312" w:cs="Times New Roman"/>
          <w:i w:val="0"/>
          <w:caps w:val="0"/>
          <w:color w:val="0C0C0C"/>
          <w:spacing w:val="0"/>
          <w:kern w:val="0"/>
          <w:sz w:val="32"/>
          <w:szCs w:val="32"/>
          <w:highlight w:val="none"/>
          <w:lang w:val="en-US" w:eastAsia="zh-CN" w:bidi="ar"/>
        </w:rPr>
      </w:pPr>
      <w:r>
        <w:rPr>
          <w:rFonts w:hint="default" w:ascii="Times New Roman" w:hAnsi="Times New Roman" w:eastAsia="楷体_GB2312" w:cs="Times New Roman"/>
          <w:i w:val="0"/>
          <w:caps w:val="0"/>
          <w:color w:val="0C0C0C"/>
          <w:spacing w:val="0"/>
          <w:kern w:val="0"/>
          <w:sz w:val="32"/>
          <w:szCs w:val="32"/>
          <w:highlight w:val="none"/>
          <w:lang w:val="en-US" w:eastAsia="zh-CN" w:bidi="ar"/>
        </w:rPr>
        <w:t>（一）法人单位数和从业人员</w:t>
      </w:r>
    </w:p>
    <w:p w14:paraId="3BF27E7F">
      <w:pPr>
        <w:pStyle w:val="7"/>
        <w:widowControl w:val="0"/>
        <w:spacing w:line="240" w:lineRule="auto"/>
        <w:ind w:firstLine="608"/>
        <w:textAlignment w:val="center"/>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2023年末，全市共有科学研究和技术服务业法人单位</w:t>
      </w:r>
      <w:r>
        <w:rPr>
          <w:rFonts w:hint="default" w:ascii="Times New Roman" w:hAnsi="Times New Roman" w:eastAsia="仿宋_GB2312" w:cs="Times New Roman"/>
          <w:color w:val="0C0C0C"/>
          <w:sz w:val="32"/>
          <w:szCs w:val="32"/>
          <w:u w:val="none"/>
          <w:lang w:val="en-US" w:eastAsia="zh-CN"/>
        </w:rPr>
        <w:t>1985</w:t>
      </w:r>
      <w:r>
        <w:rPr>
          <w:rFonts w:hint="default" w:ascii="Times New Roman" w:hAnsi="Times New Roman" w:eastAsia="仿宋_GB2312" w:cs="Times New Roman"/>
          <w:color w:val="0C0C0C"/>
          <w:spacing w:val="-6"/>
          <w:kern w:val="2"/>
          <w:sz w:val="32"/>
          <w:szCs w:val="32"/>
          <w:u w:val="none"/>
          <w:lang w:val="en-US" w:eastAsia="zh-CN" w:bidi="ar-SA"/>
        </w:rPr>
        <w:t>个，从业人员</w:t>
      </w:r>
      <w:r>
        <w:rPr>
          <w:rFonts w:hint="default" w:ascii="Times New Roman" w:hAnsi="Times New Roman" w:eastAsia="仿宋_GB2312" w:cs="Times New Roman"/>
          <w:color w:val="0C0C0C"/>
          <w:sz w:val="32"/>
          <w:szCs w:val="32"/>
          <w:u w:val="none"/>
          <w:lang w:val="en-US" w:eastAsia="zh-CN"/>
        </w:rPr>
        <w:t>16481</w:t>
      </w:r>
      <w:r>
        <w:rPr>
          <w:rFonts w:hint="default" w:ascii="Times New Roman" w:hAnsi="Times New Roman" w:eastAsia="仿宋_GB2312" w:cs="Times New Roman"/>
          <w:color w:val="0C0C0C"/>
          <w:spacing w:val="-6"/>
          <w:kern w:val="2"/>
          <w:sz w:val="32"/>
          <w:szCs w:val="32"/>
          <w:u w:val="none"/>
          <w:lang w:val="en-US" w:eastAsia="zh-CN" w:bidi="ar-SA"/>
        </w:rPr>
        <w:t>人，分别比2018年末增长</w:t>
      </w:r>
      <w:r>
        <w:rPr>
          <w:rFonts w:hint="default" w:ascii="Times New Roman" w:hAnsi="Times New Roman" w:eastAsia="仿宋_GB2312" w:cs="Times New Roman"/>
          <w:color w:val="0C0C0C"/>
          <w:sz w:val="32"/>
          <w:szCs w:val="32"/>
          <w:u w:val="none"/>
          <w:lang w:val="en-US" w:eastAsia="zh-CN"/>
        </w:rPr>
        <w:t>355.3</w:t>
      </w:r>
      <w:r>
        <w:rPr>
          <w:rFonts w:hint="default" w:ascii="Times New Roman" w:hAnsi="Times New Roman" w:eastAsia="仿宋_GB2312" w:cs="Times New Roman"/>
          <w:color w:val="0C0C0C"/>
          <w:spacing w:val="-6"/>
          <w:kern w:val="2"/>
          <w:sz w:val="32"/>
          <w:szCs w:val="32"/>
          <w:u w:val="none"/>
          <w:lang w:val="en-US" w:eastAsia="zh-CN" w:bidi="ar-SA"/>
        </w:rPr>
        <w:t>%和</w:t>
      </w:r>
      <w:r>
        <w:rPr>
          <w:rFonts w:hint="default" w:ascii="Times New Roman" w:hAnsi="Times New Roman" w:eastAsia="仿宋_GB2312" w:cs="Times New Roman"/>
          <w:color w:val="0C0C0C"/>
          <w:sz w:val="32"/>
          <w:szCs w:val="32"/>
          <w:u w:val="none"/>
          <w:lang w:val="en-US" w:eastAsia="zh-CN"/>
        </w:rPr>
        <w:t>200.8</w:t>
      </w:r>
      <w:r>
        <w:rPr>
          <w:rFonts w:hint="default" w:ascii="Times New Roman" w:hAnsi="Times New Roman" w:eastAsia="仿宋_GB2312" w:cs="Times New Roman"/>
          <w:color w:val="0C0C0C"/>
          <w:spacing w:val="-6"/>
          <w:kern w:val="2"/>
          <w:sz w:val="32"/>
          <w:szCs w:val="32"/>
          <w:u w:val="none"/>
          <w:lang w:val="en-US" w:eastAsia="zh-CN" w:bidi="ar-SA"/>
        </w:rPr>
        <w:t>%。其中，企业法人单位</w:t>
      </w:r>
      <w:r>
        <w:rPr>
          <w:rFonts w:hint="eastAsia" w:eastAsia="仿宋_GB2312" w:cs="Times New Roman"/>
          <w:i w:val="0"/>
          <w:caps w:val="0"/>
          <w:color w:val="0C0C0C"/>
          <w:spacing w:val="0"/>
          <w:kern w:val="0"/>
          <w:sz w:val="32"/>
          <w:szCs w:val="32"/>
          <w:highlight w:val="none"/>
          <w:vertAlign w:val="superscript"/>
          <w:lang w:val="en-US" w:eastAsia="zh-CN" w:bidi="ar"/>
        </w:rPr>
        <w:t>［１］</w:t>
      </w:r>
      <w:r>
        <w:rPr>
          <w:rFonts w:hint="default" w:ascii="Times New Roman" w:hAnsi="Times New Roman" w:eastAsia="仿宋_GB2312" w:cs="Times New Roman"/>
          <w:color w:val="0C0C0C"/>
          <w:sz w:val="32"/>
          <w:szCs w:val="32"/>
          <w:u w:val="none"/>
          <w:lang w:val="en-US" w:eastAsia="zh-CN"/>
        </w:rPr>
        <w:t>1972</w:t>
      </w:r>
      <w:r>
        <w:rPr>
          <w:rFonts w:hint="default" w:ascii="Times New Roman" w:hAnsi="Times New Roman" w:eastAsia="仿宋_GB2312" w:cs="Times New Roman"/>
          <w:color w:val="0C0C0C"/>
          <w:spacing w:val="-6"/>
          <w:kern w:val="2"/>
          <w:sz w:val="32"/>
          <w:szCs w:val="32"/>
          <w:u w:val="none"/>
          <w:lang w:val="en-US" w:eastAsia="zh-CN" w:bidi="ar-SA"/>
        </w:rPr>
        <w:t>个，从业人员</w:t>
      </w:r>
      <w:r>
        <w:rPr>
          <w:rFonts w:hint="default" w:ascii="Times New Roman" w:hAnsi="Times New Roman" w:eastAsia="仿宋_GB2312" w:cs="Times New Roman"/>
          <w:color w:val="0C0C0C"/>
          <w:sz w:val="32"/>
          <w:szCs w:val="32"/>
          <w:u w:val="none"/>
          <w:lang w:val="en-US" w:eastAsia="zh-CN"/>
        </w:rPr>
        <w:t>16350</w:t>
      </w:r>
      <w:r>
        <w:rPr>
          <w:rFonts w:hint="default" w:ascii="Times New Roman" w:hAnsi="Times New Roman" w:eastAsia="仿宋_GB2312" w:cs="Times New Roman"/>
          <w:color w:val="0C0C0C"/>
          <w:spacing w:val="-6"/>
          <w:kern w:val="2"/>
          <w:sz w:val="32"/>
          <w:szCs w:val="32"/>
          <w:u w:val="none"/>
          <w:lang w:val="en-US" w:eastAsia="zh-CN" w:bidi="ar-SA"/>
        </w:rPr>
        <w:t>人，分别比2018年末增长</w:t>
      </w:r>
      <w:r>
        <w:rPr>
          <w:rFonts w:hint="default" w:ascii="Times New Roman" w:hAnsi="Times New Roman" w:eastAsia="仿宋_GB2312" w:cs="Times New Roman"/>
          <w:color w:val="0C0C0C"/>
          <w:sz w:val="32"/>
          <w:szCs w:val="32"/>
          <w:u w:val="none"/>
          <w:lang w:val="en-US" w:eastAsia="zh-CN"/>
        </w:rPr>
        <w:t>375.2</w:t>
      </w:r>
      <w:r>
        <w:rPr>
          <w:rFonts w:hint="default" w:ascii="Times New Roman" w:hAnsi="Times New Roman" w:eastAsia="仿宋_GB2312" w:cs="Times New Roman"/>
          <w:color w:val="0C0C0C"/>
          <w:spacing w:val="-6"/>
          <w:kern w:val="2"/>
          <w:sz w:val="32"/>
          <w:szCs w:val="32"/>
          <w:u w:val="none"/>
          <w:lang w:val="en-US" w:eastAsia="zh-CN" w:bidi="ar-SA"/>
        </w:rPr>
        <w:t>%和203.7%（详见表</w:t>
      </w:r>
      <w:r>
        <w:rPr>
          <w:rFonts w:hint="eastAsia" w:eastAsia="仿宋_GB2312" w:cs="Times New Roman"/>
          <w:color w:val="0C0C0C"/>
          <w:spacing w:val="-6"/>
          <w:kern w:val="2"/>
          <w:sz w:val="32"/>
          <w:szCs w:val="32"/>
          <w:u w:val="none"/>
          <w:lang w:val="en-US" w:eastAsia="zh-CN" w:bidi="ar-SA"/>
        </w:rPr>
        <w:t>4</w:t>
      </w:r>
      <w:r>
        <w:rPr>
          <w:rFonts w:hint="default" w:ascii="Times New Roman" w:hAnsi="Times New Roman" w:eastAsia="仿宋_GB2312" w:cs="Times New Roman"/>
          <w:color w:val="0C0C0C"/>
          <w:spacing w:val="-6"/>
          <w:kern w:val="2"/>
          <w:sz w:val="32"/>
          <w:szCs w:val="32"/>
          <w:u w:val="none"/>
          <w:lang w:val="en-US" w:eastAsia="zh-CN" w:bidi="ar-SA"/>
        </w:rPr>
        <w:t>-1）。</w:t>
      </w:r>
    </w:p>
    <w:p w14:paraId="3BEBF6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beforeAutospacing="0" w:after="176" w:afterLines="30" w:afterAutospacing="0" w:line="600" w:lineRule="exact"/>
        <w:ind w:left="0" w:right="0" w:firstLine="0" w:firstLineChars="0"/>
        <w:jc w:val="center"/>
        <w:textAlignment w:val="auto"/>
        <w:rPr>
          <w:rFonts w:hint="default" w:ascii="Times New Roman" w:hAnsi="Times New Roman" w:eastAsia="宋体" w:cs="Times New Roman"/>
          <w:b/>
          <w:i w:val="0"/>
          <w:caps w:val="0"/>
          <w:color w:val="0C0C0C"/>
          <w:spacing w:val="0"/>
          <w:kern w:val="0"/>
          <w:sz w:val="24"/>
          <w:szCs w:val="24"/>
          <w:highlight w:val="none"/>
          <w:lang w:val="en-US" w:eastAsia="zh-CN" w:bidi="ar"/>
        </w:rPr>
      </w:pPr>
      <w:r>
        <w:rPr>
          <w:rFonts w:hint="default" w:ascii="Times New Roman" w:hAnsi="Times New Roman" w:eastAsia="宋体" w:cs="Times New Roman"/>
          <w:b/>
          <w:i w:val="0"/>
          <w:caps w:val="0"/>
          <w:color w:val="0C0C0C"/>
          <w:spacing w:val="0"/>
          <w:kern w:val="0"/>
          <w:sz w:val="24"/>
          <w:szCs w:val="24"/>
          <w:highlight w:val="none"/>
          <w:lang w:val="en-US" w:eastAsia="zh-CN" w:bidi="ar"/>
        </w:rPr>
        <w:t>表</w:t>
      </w:r>
      <w:r>
        <w:rPr>
          <w:rFonts w:hint="eastAsia" w:eastAsia="宋体" w:cs="Times New Roman"/>
          <w:b/>
          <w:i w:val="0"/>
          <w:caps w:val="0"/>
          <w:color w:val="0C0C0C"/>
          <w:spacing w:val="0"/>
          <w:kern w:val="0"/>
          <w:sz w:val="24"/>
          <w:szCs w:val="24"/>
          <w:highlight w:val="none"/>
          <w:lang w:val="en-US" w:eastAsia="zh-CN" w:bidi="ar"/>
        </w:rPr>
        <w:t>4</w:t>
      </w:r>
      <w:r>
        <w:rPr>
          <w:rFonts w:hint="default" w:ascii="Times New Roman" w:hAnsi="Times New Roman" w:eastAsia="宋体" w:cs="Times New Roman"/>
          <w:b/>
          <w:i w:val="0"/>
          <w:caps w:val="0"/>
          <w:color w:val="0C0C0C"/>
          <w:spacing w:val="0"/>
          <w:kern w:val="0"/>
          <w:sz w:val="24"/>
          <w:szCs w:val="24"/>
          <w:highlight w:val="none"/>
          <w:lang w:val="en-US" w:eastAsia="zh-CN" w:bidi="ar"/>
        </w:rPr>
        <w:t>-1　按行业大类分组的科学研究和技术服务业企业法人单位数和从业人员</w:t>
      </w:r>
    </w:p>
    <w:tbl>
      <w:tblPr>
        <w:tblStyle w:val="18"/>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057"/>
        <w:gridCol w:w="2837"/>
        <w:gridCol w:w="2838"/>
      </w:tblGrid>
      <w:tr w14:paraId="7F6CB94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tblHeader/>
          <w:jc w:val="center"/>
        </w:trPr>
        <w:tc>
          <w:tcPr>
            <w:tcW w:w="3057" w:type="dxa"/>
            <w:tcBorders>
              <w:top w:val="single" w:color="auto" w:sz="12" w:space="0"/>
              <w:left w:val="nil"/>
              <w:bottom w:val="single" w:color="auto" w:sz="4" w:space="0"/>
              <w:right w:val="single" w:color="auto" w:sz="4" w:space="0"/>
            </w:tcBorders>
            <w:noWrap w:val="0"/>
            <w:vAlign w:val="center"/>
          </w:tcPr>
          <w:p w14:paraId="1B2DD4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color w:val="0C0C0C"/>
                <w:sz w:val="21"/>
                <w:szCs w:val="21"/>
                <w:highlight w:val="none"/>
              </w:rPr>
            </w:pPr>
          </w:p>
        </w:tc>
        <w:tc>
          <w:tcPr>
            <w:tcW w:w="2837" w:type="dxa"/>
            <w:tcBorders>
              <w:top w:val="single" w:color="auto" w:sz="12" w:space="0"/>
              <w:left w:val="single" w:color="auto" w:sz="4" w:space="0"/>
              <w:bottom w:val="single" w:color="auto" w:sz="4" w:space="0"/>
              <w:right w:val="single" w:color="auto" w:sz="4" w:space="0"/>
            </w:tcBorders>
            <w:noWrap w:val="0"/>
            <w:vAlign w:val="center"/>
          </w:tcPr>
          <w:p w14:paraId="0997F6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default" w:ascii="Times New Roman" w:hAnsi="Times New Roman" w:eastAsia="宋体" w:cs="Times New Roman"/>
                <w:b/>
                <w:bCs/>
                <w:color w:val="0C0C0C"/>
                <w:kern w:val="0"/>
                <w:sz w:val="21"/>
                <w:szCs w:val="21"/>
                <w:highlight w:val="none"/>
                <w:lang w:val="en-US" w:eastAsia="zh-CN" w:bidi="ar"/>
              </w:rPr>
            </w:pPr>
            <w:r>
              <w:rPr>
                <w:rFonts w:hint="default" w:ascii="Times New Roman" w:hAnsi="Times New Roman" w:eastAsia="宋体" w:cs="Times New Roman"/>
                <w:b/>
                <w:bCs/>
                <w:color w:val="0C0C0C"/>
                <w:kern w:val="0"/>
                <w:sz w:val="21"/>
                <w:szCs w:val="21"/>
                <w:highlight w:val="none"/>
                <w:lang w:val="en-US" w:eastAsia="zh-CN" w:bidi="ar"/>
              </w:rPr>
              <w:t>企业法人单位</w:t>
            </w:r>
          </w:p>
          <w:p w14:paraId="07FDAF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（个）</w:t>
            </w:r>
          </w:p>
        </w:tc>
        <w:tc>
          <w:tcPr>
            <w:tcW w:w="2838" w:type="dxa"/>
            <w:tcBorders>
              <w:top w:val="single" w:color="auto" w:sz="12" w:space="0"/>
              <w:left w:val="single" w:color="auto" w:sz="4" w:space="0"/>
              <w:bottom w:val="single" w:color="auto" w:sz="4" w:space="0"/>
              <w:right w:val="nil"/>
            </w:tcBorders>
            <w:noWrap w:val="0"/>
            <w:vAlign w:val="center"/>
          </w:tcPr>
          <w:p w14:paraId="59992F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default" w:ascii="Times New Roman" w:hAnsi="Times New Roman" w:eastAsia="宋体" w:cs="Times New Roman"/>
                <w:b/>
                <w:bCs/>
                <w:color w:val="0C0C0C"/>
                <w:kern w:val="0"/>
                <w:sz w:val="21"/>
                <w:szCs w:val="21"/>
                <w:highlight w:val="none"/>
                <w:lang w:val="en-US" w:eastAsia="zh-CN" w:bidi="ar"/>
              </w:rPr>
            </w:pPr>
            <w:r>
              <w:rPr>
                <w:rFonts w:hint="default" w:ascii="Times New Roman" w:hAnsi="Times New Roman" w:eastAsia="宋体" w:cs="Times New Roman"/>
                <w:b/>
                <w:bCs/>
                <w:color w:val="0C0C0C"/>
                <w:kern w:val="0"/>
                <w:sz w:val="21"/>
                <w:szCs w:val="21"/>
                <w:highlight w:val="none"/>
                <w:lang w:val="en-US" w:eastAsia="zh-CN" w:bidi="ar"/>
              </w:rPr>
              <w:t>从业人员</w:t>
            </w:r>
          </w:p>
          <w:p w14:paraId="46BA43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（人）</w:t>
            </w:r>
          </w:p>
        </w:tc>
      </w:tr>
      <w:tr w14:paraId="7DEB50C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057" w:type="dxa"/>
            <w:tcBorders>
              <w:top w:val="single" w:color="auto" w:sz="4" w:space="0"/>
              <w:left w:val="nil"/>
              <w:bottom w:val="nil"/>
              <w:right w:val="single" w:color="auto" w:sz="4" w:space="0"/>
            </w:tcBorders>
            <w:noWrap w:val="0"/>
            <w:vAlign w:val="center"/>
          </w:tcPr>
          <w:p w14:paraId="1B63D10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center"/>
              <w:textAlignment w:val="auto"/>
              <w:rPr>
                <w:rFonts w:hint="default" w:ascii="Times New Roman" w:hAnsi="Times New Roman" w:eastAsia="宋体" w:cs="Times New Roman"/>
                <w:b/>
                <w:bCs w:val="0"/>
                <w:color w:val="0C0C0C"/>
                <w:kern w:val="0"/>
                <w:sz w:val="21"/>
                <w:szCs w:val="21"/>
                <w:highlight w:val="none"/>
                <w:lang w:val="en" w:bidi="ar"/>
              </w:rPr>
            </w:pPr>
            <w:r>
              <w:rPr>
                <w:rFonts w:hint="default" w:ascii="Times New Roman" w:hAnsi="Times New Roman" w:eastAsia="宋体" w:cs="Times New Roman"/>
                <w:b/>
                <w:bCs w:val="0"/>
                <w:color w:val="0C0C0C"/>
                <w:kern w:val="0"/>
                <w:sz w:val="21"/>
                <w:szCs w:val="21"/>
                <w:highlight w:val="none"/>
                <w:lang w:val="en" w:eastAsia="zh-CN" w:bidi="ar"/>
              </w:rPr>
              <w:t>合　计</w:t>
            </w:r>
          </w:p>
        </w:tc>
        <w:tc>
          <w:tcPr>
            <w:tcW w:w="2837" w:type="dxa"/>
            <w:tcBorders>
              <w:top w:val="single" w:color="auto" w:sz="4" w:space="0"/>
              <w:left w:val="single" w:color="auto" w:sz="4" w:space="0"/>
              <w:bottom w:val="nil"/>
              <w:right w:val="single" w:color="auto" w:sz="4" w:space="0"/>
            </w:tcBorders>
            <w:noWrap w:val="0"/>
            <w:vAlign w:val="center"/>
          </w:tcPr>
          <w:p w14:paraId="5F6A2F07">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 w:eastAsia="zh-CN" w:bidi="ar"/>
              </w:rPr>
            </w:pPr>
            <w:r>
              <w:rPr>
                <w:rFonts w:hint="default" w:ascii="Times New Roman" w:hAnsi="Times New Roman" w:eastAsia="宋体" w:cs="Times New Roman"/>
                <w:b/>
                <w:bCs w:val="0"/>
                <w:i w:val="0"/>
                <w:iCs w:val="0"/>
                <w:color w:val="0C0C0C"/>
                <w:kern w:val="0"/>
                <w:sz w:val="21"/>
                <w:szCs w:val="21"/>
                <w:highlight w:val="none"/>
                <w:u w:val="none"/>
                <w:lang w:val="en" w:eastAsia="zh-CN" w:bidi="ar"/>
              </w:rPr>
              <w:t xml:space="preserve">1972 </w:t>
            </w:r>
          </w:p>
        </w:tc>
        <w:tc>
          <w:tcPr>
            <w:tcW w:w="2838" w:type="dxa"/>
            <w:tcBorders>
              <w:top w:val="single" w:color="auto" w:sz="4" w:space="0"/>
              <w:left w:val="single" w:color="auto" w:sz="4" w:space="0"/>
              <w:bottom w:val="nil"/>
              <w:right w:val="nil"/>
            </w:tcBorders>
            <w:noWrap w:val="0"/>
            <w:vAlign w:val="center"/>
          </w:tcPr>
          <w:p w14:paraId="587C5C5C">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 w:eastAsia="zh-CN" w:bidi="ar"/>
              </w:rPr>
            </w:pPr>
            <w:r>
              <w:rPr>
                <w:rFonts w:hint="default" w:ascii="Times New Roman" w:hAnsi="Times New Roman" w:eastAsia="宋体" w:cs="Times New Roman"/>
                <w:b/>
                <w:bCs w:val="0"/>
                <w:i w:val="0"/>
                <w:iCs w:val="0"/>
                <w:color w:val="0C0C0C"/>
                <w:kern w:val="0"/>
                <w:sz w:val="21"/>
                <w:szCs w:val="21"/>
                <w:highlight w:val="none"/>
                <w:u w:val="none"/>
                <w:lang w:val="en" w:eastAsia="zh-CN" w:bidi="ar"/>
              </w:rPr>
              <w:t xml:space="preserve">16350 </w:t>
            </w:r>
          </w:p>
        </w:tc>
      </w:tr>
      <w:tr w14:paraId="7035686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057" w:type="dxa"/>
            <w:tcBorders>
              <w:top w:val="nil"/>
              <w:left w:val="nil"/>
              <w:bottom w:val="nil"/>
              <w:right w:val="single" w:color="auto" w:sz="4" w:space="0"/>
            </w:tcBorders>
            <w:noWrap w:val="0"/>
            <w:vAlign w:val="center"/>
          </w:tcPr>
          <w:p w14:paraId="4CEE304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val="en" w:bidi="ar"/>
              </w:rPr>
            </w:pPr>
            <w:r>
              <w:rPr>
                <w:rFonts w:hint="default" w:ascii="Times New Roman" w:hAnsi="Times New Roman" w:eastAsia="宋体" w:cs="Times New Roman"/>
                <w:bCs/>
                <w:color w:val="0C0C0C"/>
                <w:kern w:val="0"/>
                <w:sz w:val="21"/>
                <w:szCs w:val="21"/>
                <w:highlight w:val="none"/>
                <w:lang w:val="en" w:eastAsia="zh-CN" w:bidi="ar"/>
              </w:rPr>
              <w:t>研究和试验发展</w:t>
            </w:r>
          </w:p>
        </w:tc>
        <w:tc>
          <w:tcPr>
            <w:tcW w:w="2837" w:type="dxa"/>
            <w:tcBorders>
              <w:top w:val="nil"/>
              <w:left w:val="single" w:color="auto" w:sz="4" w:space="0"/>
              <w:bottom w:val="nil"/>
              <w:right w:val="single" w:color="auto" w:sz="4" w:space="0"/>
            </w:tcBorders>
            <w:noWrap w:val="0"/>
            <w:vAlign w:val="center"/>
          </w:tcPr>
          <w:p w14:paraId="4CBD5965">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line="320" w:lineRule="exact"/>
              <w:ind w:firstLine="0" w:firstLineChars="0"/>
              <w:jc w:val="right"/>
              <w:textAlignment w:val="auto"/>
              <w:rPr>
                <w:rFonts w:hint="default" w:ascii="Times New Roman" w:hAnsi="Times New Roman" w:eastAsia="宋体" w:cs="Times New Roman"/>
                <w:bCs/>
                <w:i w:val="0"/>
                <w:color w:val="0C0C0C"/>
                <w:kern w:val="0"/>
                <w:sz w:val="21"/>
                <w:szCs w:val="21"/>
                <w:highlight w:val="none"/>
                <w:u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369 </w:t>
            </w:r>
          </w:p>
        </w:tc>
        <w:tc>
          <w:tcPr>
            <w:tcW w:w="2838" w:type="dxa"/>
            <w:tcBorders>
              <w:top w:val="nil"/>
              <w:left w:val="single" w:color="auto" w:sz="4" w:space="0"/>
              <w:bottom w:val="nil"/>
              <w:right w:val="nil"/>
            </w:tcBorders>
            <w:noWrap w:val="0"/>
            <w:vAlign w:val="center"/>
          </w:tcPr>
          <w:p w14:paraId="0E1467C1">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3020 </w:t>
            </w:r>
          </w:p>
        </w:tc>
      </w:tr>
      <w:tr w14:paraId="681DA17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057" w:type="dxa"/>
            <w:tcBorders>
              <w:top w:val="nil"/>
              <w:left w:val="nil"/>
              <w:bottom w:val="nil"/>
              <w:right w:val="single" w:color="auto" w:sz="4" w:space="0"/>
            </w:tcBorders>
            <w:noWrap w:val="0"/>
            <w:vAlign w:val="center"/>
          </w:tcPr>
          <w:p w14:paraId="00B8F70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val="en" w:bidi="ar"/>
              </w:rPr>
            </w:pPr>
            <w:r>
              <w:rPr>
                <w:rFonts w:hint="default" w:ascii="Times New Roman" w:hAnsi="Times New Roman" w:eastAsia="宋体" w:cs="Times New Roman"/>
                <w:bCs/>
                <w:color w:val="0C0C0C"/>
                <w:kern w:val="0"/>
                <w:sz w:val="21"/>
                <w:szCs w:val="21"/>
                <w:highlight w:val="none"/>
                <w:lang w:val="en" w:eastAsia="zh-CN" w:bidi="ar"/>
              </w:rPr>
              <w:t>专业技术服务业</w:t>
            </w:r>
          </w:p>
        </w:tc>
        <w:tc>
          <w:tcPr>
            <w:tcW w:w="2837" w:type="dxa"/>
            <w:tcBorders>
              <w:top w:val="nil"/>
              <w:left w:val="single" w:color="auto" w:sz="4" w:space="0"/>
              <w:bottom w:val="nil"/>
              <w:right w:val="single" w:color="auto" w:sz="4" w:space="0"/>
            </w:tcBorders>
            <w:noWrap w:val="0"/>
            <w:vAlign w:val="center"/>
          </w:tcPr>
          <w:p w14:paraId="1E5261D4">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line="320" w:lineRule="exact"/>
              <w:ind w:firstLine="0" w:firstLineChars="0"/>
              <w:jc w:val="right"/>
              <w:textAlignment w:val="auto"/>
              <w:rPr>
                <w:rFonts w:hint="default" w:ascii="Times New Roman" w:hAnsi="Times New Roman" w:eastAsia="宋体" w:cs="Times New Roman"/>
                <w:bCs/>
                <w:i w:val="0"/>
                <w:color w:val="0C0C0C"/>
                <w:kern w:val="0"/>
                <w:sz w:val="21"/>
                <w:szCs w:val="21"/>
                <w:highlight w:val="none"/>
                <w:u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501 </w:t>
            </w:r>
          </w:p>
        </w:tc>
        <w:tc>
          <w:tcPr>
            <w:tcW w:w="2838" w:type="dxa"/>
            <w:tcBorders>
              <w:top w:val="nil"/>
              <w:left w:val="single" w:color="auto" w:sz="4" w:space="0"/>
              <w:bottom w:val="nil"/>
              <w:right w:val="nil"/>
            </w:tcBorders>
            <w:noWrap w:val="0"/>
            <w:vAlign w:val="center"/>
          </w:tcPr>
          <w:p w14:paraId="009FB22F">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4242 </w:t>
            </w:r>
          </w:p>
        </w:tc>
      </w:tr>
      <w:tr w14:paraId="2A96DE0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057" w:type="dxa"/>
            <w:tcBorders>
              <w:top w:val="nil"/>
              <w:left w:val="nil"/>
              <w:bottom w:val="single" w:color="auto" w:sz="12" w:space="0"/>
              <w:right w:val="single" w:color="auto" w:sz="4" w:space="0"/>
            </w:tcBorders>
            <w:noWrap w:val="0"/>
            <w:vAlign w:val="center"/>
          </w:tcPr>
          <w:p w14:paraId="78B64EB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val="en" w:bidi="ar"/>
              </w:rPr>
            </w:pPr>
            <w:r>
              <w:rPr>
                <w:rFonts w:hint="default" w:ascii="Times New Roman" w:hAnsi="Times New Roman" w:eastAsia="宋体" w:cs="Times New Roman"/>
                <w:bCs/>
                <w:color w:val="0C0C0C"/>
                <w:kern w:val="0"/>
                <w:sz w:val="21"/>
                <w:szCs w:val="21"/>
                <w:highlight w:val="none"/>
                <w:lang w:val="en" w:eastAsia="zh-CN" w:bidi="ar"/>
              </w:rPr>
              <w:t>科技推广和应用服务业</w:t>
            </w:r>
          </w:p>
        </w:tc>
        <w:tc>
          <w:tcPr>
            <w:tcW w:w="2837" w:type="dxa"/>
            <w:tcBorders>
              <w:top w:val="nil"/>
              <w:left w:val="single" w:color="auto" w:sz="4" w:space="0"/>
              <w:bottom w:val="single" w:color="auto" w:sz="12" w:space="0"/>
              <w:right w:val="single" w:color="auto" w:sz="4" w:space="0"/>
            </w:tcBorders>
            <w:noWrap w:val="0"/>
            <w:vAlign w:val="center"/>
          </w:tcPr>
          <w:p w14:paraId="4D8F7B26">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line="320" w:lineRule="exact"/>
              <w:ind w:firstLine="0" w:firstLineChars="0"/>
              <w:jc w:val="right"/>
              <w:textAlignment w:val="auto"/>
              <w:rPr>
                <w:rFonts w:hint="default" w:ascii="Times New Roman" w:hAnsi="Times New Roman" w:eastAsia="宋体" w:cs="Times New Roman"/>
                <w:bCs/>
                <w:i w:val="0"/>
                <w:color w:val="0C0C0C"/>
                <w:kern w:val="0"/>
                <w:sz w:val="21"/>
                <w:szCs w:val="21"/>
                <w:highlight w:val="none"/>
                <w:u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1102 </w:t>
            </w:r>
          </w:p>
        </w:tc>
        <w:tc>
          <w:tcPr>
            <w:tcW w:w="2838" w:type="dxa"/>
            <w:tcBorders>
              <w:top w:val="nil"/>
              <w:left w:val="single" w:color="auto" w:sz="4" w:space="0"/>
              <w:bottom w:val="single" w:color="auto" w:sz="12" w:space="0"/>
              <w:right w:val="nil"/>
            </w:tcBorders>
            <w:noWrap w:val="0"/>
            <w:vAlign w:val="center"/>
          </w:tcPr>
          <w:p w14:paraId="5777803D">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9088 </w:t>
            </w:r>
          </w:p>
        </w:tc>
      </w:tr>
    </w:tbl>
    <w:p w14:paraId="2D99953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right="0" w:firstLine="0" w:firstLineChars="0"/>
        <w:jc w:val="both"/>
        <w:textAlignment w:val="auto"/>
        <w:rPr>
          <w:rFonts w:hint="default" w:ascii="Times New Roman" w:hAnsi="Times New Roman" w:eastAsia="仿宋_GB2312"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6"/>
          <w:szCs w:val="36"/>
          <w:u w:val="none"/>
          <w:lang w:val="en-US" w:eastAsia="zh-CN" w:bidi="ar-SA"/>
        </w:rPr>
        <w:t xml:space="preserve">   </w:t>
      </w:r>
      <w:r>
        <w:rPr>
          <w:rFonts w:hint="eastAsia" w:ascii="Times New Roman" w:hAnsi="Times New Roman" w:cs="Times New Roman"/>
          <w:color w:val="0C0C0C"/>
          <w:spacing w:val="-6"/>
          <w:kern w:val="2"/>
          <w:sz w:val="32"/>
          <w:szCs w:val="32"/>
          <w:u w:val="none"/>
          <w:lang w:val="en-US" w:eastAsia="zh-CN" w:bidi="ar-SA"/>
        </w:rPr>
        <w:t xml:space="preserve"> </w:t>
      </w:r>
      <w:r>
        <w:rPr>
          <w:rFonts w:hint="default" w:ascii="Times New Roman" w:hAnsi="Times New Roman" w:eastAsia="仿宋_GB2312" w:cs="Times New Roman"/>
          <w:color w:val="0C0C0C"/>
          <w:spacing w:val="-6"/>
          <w:kern w:val="2"/>
          <w:sz w:val="32"/>
          <w:szCs w:val="32"/>
          <w:u w:val="none"/>
          <w:lang w:val="en-US" w:eastAsia="zh-CN" w:bidi="ar-SA"/>
        </w:rPr>
        <w:t>在科学研究和技术服务业企业法人单位中，内资企业占</w:t>
      </w:r>
      <w:r>
        <w:rPr>
          <w:rFonts w:hint="default" w:ascii="Times New Roman" w:hAnsi="Times New Roman" w:eastAsia="仿宋_GB2312" w:cs="Times New Roman"/>
          <w:color w:val="0C0C0C"/>
          <w:sz w:val="32"/>
          <w:szCs w:val="32"/>
          <w:u w:val="none"/>
          <w:lang w:val="en-US" w:eastAsia="zh-CN"/>
        </w:rPr>
        <w:t>99.1</w:t>
      </w:r>
      <w:r>
        <w:rPr>
          <w:rFonts w:hint="default" w:ascii="Times New Roman" w:hAnsi="Times New Roman" w:eastAsia="仿宋_GB2312" w:cs="Times New Roman"/>
          <w:color w:val="0C0C0C"/>
          <w:spacing w:val="-6"/>
          <w:kern w:val="2"/>
          <w:sz w:val="32"/>
          <w:szCs w:val="32"/>
          <w:u w:val="none"/>
          <w:lang w:val="en-US" w:eastAsia="zh-CN" w:bidi="ar-SA"/>
        </w:rPr>
        <w:t>%，港澳台、外商和其他投资企业占</w:t>
      </w:r>
      <w:r>
        <w:rPr>
          <w:rFonts w:hint="default" w:ascii="Times New Roman" w:hAnsi="Times New Roman" w:eastAsia="仿宋_GB2312" w:cs="Times New Roman"/>
          <w:color w:val="0C0C0C"/>
          <w:sz w:val="32"/>
          <w:szCs w:val="32"/>
          <w:u w:val="none"/>
          <w:lang w:val="en-US" w:eastAsia="zh-CN"/>
        </w:rPr>
        <w:t>0.</w:t>
      </w:r>
      <w:r>
        <w:rPr>
          <w:rFonts w:hint="eastAsia" w:eastAsia="仿宋_GB2312" w:cs="Times New Roman"/>
          <w:color w:val="0C0C0C"/>
          <w:sz w:val="32"/>
          <w:szCs w:val="32"/>
          <w:u w:val="none"/>
          <w:lang w:val="en-US" w:eastAsia="zh-CN"/>
        </w:rPr>
        <w:t>9</w:t>
      </w:r>
      <w:r>
        <w:rPr>
          <w:rFonts w:hint="default" w:ascii="Times New Roman" w:hAnsi="Times New Roman" w:eastAsia="仿宋_GB2312" w:cs="Times New Roman"/>
          <w:color w:val="0C0C0C"/>
          <w:spacing w:val="-6"/>
          <w:kern w:val="2"/>
          <w:sz w:val="32"/>
          <w:szCs w:val="32"/>
          <w:u w:val="none"/>
          <w:lang w:val="en-US" w:eastAsia="zh-CN" w:bidi="ar-SA"/>
        </w:rPr>
        <w:t>%。</w:t>
      </w:r>
    </w:p>
    <w:p w14:paraId="51CBFF2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right="0" w:firstLine="0" w:firstLineChars="0"/>
        <w:jc w:val="both"/>
        <w:textAlignment w:val="auto"/>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 xml:space="preserve">    在科学研究和技术服务业企业法人单位从业人员中，内资企业占</w:t>
      </w:r>
      <w:r>
        <w:rPr>
          <w:rFonts w:hint="default" w:ascii="Times New Roman" w:hAnsi="Times New Roman" w:eastAsia="仿宋_GB2312" w:cs="Times New Roman"/>
          <w:color w:val="0C0C0C"/>
          <w:sz w:val="32"/>
          <w:szCs w:val="32"/>
          <w:u w:val="none"/>
          <w:lang w:val="en-US" w:eastAsia="zh-CN"/>
        </w:rPr>
        <w:t>99.5</w:t>
      </w:r>
      <w:r>
        <w:rPr>
          <w:rFonts w:hint="default" w:ascii="Times New Roman" w:hAnsi="Times New Roman" w:eastAsia="仿宋_GB2312" w:cs="Times New Roman"/>
          <w:color w:val="0C0C0C"/>
          <w:spacing w:val="-6"/>
          <w:kern w:val="2"/>
          <w:sz w:val="32"/>
          <w:szCs w:val="32"/>
          <w:u w:val="none"/>
          <w:lang w:val="en-US" w:eastAsia="zh-CN" w:bidi="ar-SA"/>
        </w:rPr>
        <w:t>%，</w:t>
      </w:r>
      <w:r>
        <w:rPr>
          <w:rFonts w:hint="eastAsia" w:eastAsia="仿宋_GB2312" w:cs="Times New Roman"/>
          <w:color w:val="0C0C0C"/>
          <w:spacing w:val="-6"/>
          <w:kern w:val="2"/>
          <w:sz w:val="32"/>
          <w:szCs w:val="32"/>
          <w:u w:val="none"/>
          <w:lang w:val="en-US" w:eastAsia="zh-CN" w:bidi="ar-SA"/>
        </w:rPr>
        <w:t>港澳台、外商和其他投资企业</w:t>
      </w:r>
      <w:r>
        <w:rPr>
          <w:rFonts w:hint="default" w:ascii="Times New Roman" w:hAnsi="Times New Roman" w:eastAsia="仿宋_GB2312" w:cs="Times New Roman"/>
          <w:color w:val="0C0C0C"/>
          <w:spacing w:val="-6"/>
          <w:kern w:val="2"/>
          <w:sz w:val="32"/>
          <w:szCs w:val="32"/>
          <w:u w:val="none"/>
          <w:lang w:val="en-US" w:eastAsia="zh-CN" w:bidi="ar-SA"/>
        </w:rPr>
        <w:t>占</w:t>
      </w:r>
      <w:r>
        <w:rPr>
          <w:rFonts w:hint="default" w:ascii="Times New Roman" w:hAnsi="Times New Roman" w:eastAsia="仿宋_GB2312" w:cs="Times New Roman"/>
          <w:color w:val="0C0C0C"/>
          <w:sz w:val="32"/>
          <w:szCs w:val="32"/>
          <w:u w:val="none"/>
          <w:lang w:val="en-US" w:eastAsia="zh-CN"/>
        </w:rPr>
        <w:t>0</w:t>
      </w:r>
      <w:r>
        <w:rPr>
          <w:rFonts w:hint="eastAsia" w:eastAsia="仿宋_GB2312" w:cs="Times New Roman"/>
          <w:color w:val="0C0C0C"/>
          <w:sz w:val="32"/>
          <w:szCs w:val="32"/>
          <w:u w:val="none"/>
          <w:lang w:val="en-US" w:eastAsia="zh-CN"/>
        </w:rPr>
        <w:t>.5</w:t>
      </w:r>
      <w:r>
        <w:rPr>
          <w:rFonts w:hint="default" w:ascii="Times New Roman" w:hAnsi="Times New Roman" w:eastAsia="仿宋_GB2312" w:cs="Times New Roman"/>
          <w:color w:val="0C0C0C"/>
          <w:spacing w:val="-6"/>
          <w:kern w:val="2"/>
          <w:sz w:val="32"/>
          <w:szCs w:val="32"/>
          <w:u w:val="none"/>
          <w:lang w:val="en-US" w:eastAsia="zh-CN" w:bidi="ar-SA"/>
        </w:rPr>
        <w:t>%（详见表</w:t>
      </w:r>
      <w:r>
        <w:rPr>
          <w:rFonts w:hint="eastAsia" w:eastAsia="仿宋_GB2312" w:cs="Times New Roman"/>
          <w:color w:val="0C0C0C"/>
          <w:spacing w:val="-6"/>
          <w:kern w:val="2"/>
          <w:sz w:val="32"/>
          <w:szCs w:val="32"/>
          <w:u w:val="none"/>
          <w:lang w:val="en-US" w:eastAsia="zh-CN" w:bidi="ar-SA"/>
        </w:rPr>
        <w:t>4</w:t>
      </w:r>
      <w:r>
        <w:rPr>
          <w:rFonts w:hint="default" w:ascii="Times New Roman" w:hAnsi="Times New Roman" w:eastAsia="仿宋_GB2312" w:cs="Times New Roman"/>
          <w:color w:val="0C0C0C"/>
          <w:spacing w:val="-6"/>
          <w:kern w:val="2"/>
          <w:sz w:val="32"/>
          <w:szCs w:val="32"/>
          <w:u w:val="none"/>
          <w:lang w:val="en-US" w:eastAsia="zh-CN" w:bidi="ar-SA"/>
        </w:rPr>
        <w:t>-2）。</w:t>
      </w:r>
    </w:p>
    <w:p w14:paraId="339D90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176" w:afterLines="30" w:afterAutospacing="0" w:line="600" w:lineRule="exact"/>
        <w:ind w:left="0" w:right="0" w:firstLine="0" w:firstLineChars="0"/>
        <w:jc w:val="center"/>
        <w:textAlignment w:val="auto"/>
        <w:rPr>
          <w:rFonts w:hint="default" w:ascii="Times New Roman" w:hAnsi="Times New Roman" w:eastAsia="宋体" w:cs="Times New Roman"/>
          <w:b/>
          <w:i w:val="0"/>
          <w:caps w:val="0"/>
          <w:color w:val="0C0C0C"/>
          <w:spacing w:val="-6"/>
          <w:kern w:val="0"/>
          <w:sz w:val="24"/>
          <w:szCs w:val="24"/>
          <w:highlight w:val="none"/>
          <w:lang w:val="en-US" w:eastAsia="zh-CN" w:bidi="ar"/>
        </w:rPr>
      </w:pPr>
      <w:r>
        <w:rPr>
          <w:rFonts w:hint="default" w:ascii="Times New Roman" w:hAnsi="Times New Roman" w:eastAsia="宋体" w:cs="Times New Roman"/>
          <w:b/>
          <w:i w:val="0"/>
          <w:caps w:val="0"/>
          <w:color w:val="0C0C0C"/>
          <w:spacing w:val="-6"/>
          <w:kern w:val="0"/>
          <w:sz w:val="24"/>
          <w:szCs w:val="24"/>
          <w:highlight w:val="none"/>
          <w:lang w:val="en-US" w:eastAsia="zh-CN" w:bidi="ar"/>
        </w:rPr>
        <w:t>表</w:t>
      </w:r>
      <w:r>
        <w:rPr>
          <w:rFonts w:hint="eastAsia" w:eastAsia="宋体" w:cs="Times New Roman"/>
          <w:b/>
          <w:i w:val="0"/>
          <w:caps w:val="0"/>
          <w:color w:val="0C0C0C"/>
          <w:spacing w:val="-6"/>
          <w:kern w:val="0"/>
          <w:sz w:val="24"/>
          <w:szCs w:val="24"/>
          <w:highlight w:val="none"/>
          <w:lang w:val="en-US" w:eastAsia="zh-CN" w:bidi="ar"/>
        </w:rPr>
        <w:t>4</w:t>
      </w:r>
      <w:r>
        <w:rPr>
          <w:rFonts w:hint="default" w:ascii="Times New Roman" w:hAnsi="Times New Roman" w:eastAsia="宋体" w:cs="Times New Roman"/>
          <w:b/>
          <w:i w:val="0"/>
          <w:caps w:val="0"/>
          <w:color w:val="0C0C0C"/>
          <w:spacing w:val="-6"/>
          <w:kern w:val="0"/>
          <w:sz w:val="24"/>
          <w:szCs w:val="24"/>
          <w:highlight w:val="none"/>
          <w:lang w:val="en-US" w:eastAsia="zh-CN" w:bidi="ar"/>
        </w:rPr>
        <w:t>-2　按登记注册统计类别分组的科学研究和技术服务业企业法人单位数和从业人员</w:t>
      </w:r>
    </w:p>
    <w:tbl>
      <w:tblPr>
        <w:tblStyle w:val="18"/>
        <w:tblW w:w="4997"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52"/>
        <w:gridCol w:w="2144"/>
        <w:gridCol w:w="2144"/>
      </w:tblGrid>
      <w:tr w14:paraId="5AB8772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574" w:type="pct"/>
            <w:tcBorders>
              <w:top w:val="single" w:color="auto" w:sz="12" w:space="0"/>
              <w:left w:val="nil"/>
              <w:bottom w:val="single" w:color="auto" w:sz="4" w:space="0"/>
              <w:right w:val="single" w:color="auto" w:sz="4" w:space="0"/>
            </w:tcBorders>
            <w:noWrap w:val="0"/>
            <w:vAlign w:val="center"/>
          </w:tcPr>
          <w:p w14:paraId="094E56F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Autospacing="0" w:line="320" w:lineRule="exact"/>
              <w:ind w:left="0" w:right="0" w:firstLine="0" w:firstLineChars="0"/>
              <w:jc w:val="center"/>
              <w:textAlignment w:val="auto"/>
              <w:rPr>
                <w:rFonts w:hint="default" w:ascii="Times New Roman" w:hAnsi="Times New Roman" w:eastAsia="宋体" w:cs="Times New Roman"/>
                <w:color w:val="0C0C0C"/>
                <w:sz w:val="21"/>
                <w:szCs w:val="21"/>
                <w:highlight w:val="none"/>
              </w:rPr>
            </w:pPr>
          </w:p>
        </w:tc>
        <w:tc>
          <w:tcPr>
            <w:tcW w:w="1212" w:type="pct"/>
            <w:tcBorders>
              <w:top w:val="single" w:color="auto" w:sz="12" w:space="0"/>
              <w:left w:val="single" w:color="auto" w:sz="4" w:space="0"/>
              <w:bottom w:val="single" w:color="auto" w:sz="4" w:space="0"/>
              <w:right w:val="single" w:color="auto" w:sz="4" w:space="0"/>
            </w:tcBorders>
            <w:noWrap w:val="0"/>
            <w:vAlign w:val="center"/>
          </w:tcPr>
          <w:p w14:paraId="2F39896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Autospacing="0" w:line="320" w:lineRule="exact"/>
              <w:ind w:left="0" w:right="0" w:firstLine="0" w:firstLineChars="0"/>
              <w:jc w:val="center"/>
              <w:textAlignment w:val="auto"/>
              <w:rPr>
                <w:rFonts w:hint="default" w:ascii="Times New Roman" w:hAnsi="Times New Roman" w:eastAsia="宋体" w:cs="Times New Roman"/>
                <w:b/>
                <w:bCs/>
                <w:color w:val="0C0C0C"/>
                <w:kern w:val="0"/>
                <w:sz w:val="21"/>
                <w:szCs w:val="21"/>
                <w:highlight w:val="none"/>
                <w:lang w:val="en-US" w:eastAsia="zh-CN" w:bidi="ar"/>
              </w:rPr>
            </w:pPr>
            <w:r>
              <w:rPr>
                <w:rFonts w:hint="default" w:ascii="Times New Roman" w:hAnsi="Times New Roman" w:eastAsia="宋体" w:cs="Times New Roman"/>
                <w:b/>
                <w:bCs/>
                <w:color w:val="0C0C0C"/>
                <w:kern w:val="0"/>
                <w:sz w:val="21"/>
                <w:szCs w:val="21"/>
                <w:highlight w:val="none"/>
                <w:lang w:val="en-US" w:eastAsia="zh-CN" w:bidi="ar"/>
              </w:rPr>
              <w:t>企业法人单位</w:t>
            </w:r>
          </w:p>
          <w:p w14:paraId="52ABACA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（个）</w:t>
            </w:r>
          </w:p>
        </w:tc>
        <w:tc>
          <w:tcPr>
            <w:tcW w:w="1212" w:type="pct"/>
            <w:tcBorders>
              <w:top w:val="single" w:color="auto" w:sz="12" w:space="0"/>
              <w:left w:val="single" w:color="auto" w:sz="4" w:space="0"/>
              <w:bottom w:val="single" w:color="auto" w:sz="4" w:space="0"/>
              <w:right w:val="nil"/>
            </w:tcBorders>
            <w:noWrap w:val="0"/>
            <w:vAlign w:val="center"/>
          </w:tcPr>
          <w:p w14:paraId="5E30EFC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Autospacing="0" w:line="320" w:lineRule="exact"/>
              <w:ind w:left="0" w:right="0" w:firstLine="0" w:firstLineChars="0"/>
              <w:jc w:val="center"/>
              <w:textAlignment w:val="auto"/>
              <w:rPr>
                <w:rFonts w:hint="default" w:ascii="Times New Roman" w:hAnsi="Times New Roman" w:eastAsia="宋体" w:cs="Times New Roman"/>
                <w:b/>
                <w:bCs/>
                <w:color w:val="0C0C0C"/>
                <w:kern w:val="0"/>
                <w:sz w:val="21"/>
                <w:szCs w:val="21"/>
                <w:highlight w:val="none"/>
                <w:lang w:val="en-US" w:eastAsia="zh-CN" w:bidi="ar"/>
              </w:rPr>
            </w:pPr>
            <w:r>
              <w:rPr>
                <w:rFonts w:hint="default" w:ascii="Times New Roman" w:hAnsi="Times New Roman" w:eastAsia="宋体" w:cs="Times New Roman"/>
                <w:b/>
                <w:bCs/>
                <w:color w:val="0C0C0C"/>
                <w:kern w:val="0"/>
                <w:sz w:val="21"/>
                <w:szCs w:val="21"/>
                <w:highlight w:val="none"/>
                <w:lang w:val="en-US" w:eastAsia="zh-CN" w:bidi="ar"/>
              </w:rPr>
              <w:t>从业人员</w:t>
            </w:r>
          </w:p>
          <w:p w14:paraId="10A0A68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（人）</w:t>
            </w:r>
          </w:p>
        </w:tc>
      </w:tr>
      <w:tr w14:paraId="566F1F8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574" w:type="pct"/>
            <w:tcBorders>
              <w:top w:val="single" w:color="auto" w:sz="4" w:space="0"/>
              <w:left w:val="nil"/>
              <w:bottom w:val="nil"/>
              <w:right w:val="single" w:color="auto" w:sz="4" w:space="0"/>
            </w:tcBorders>
            <w:noWrap w:val="0"/>
            <w:vAlign w:val="center"/>
          </w:tcPr>
          <w:p w14:paraId="4EA9ADB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Autospacing="0" w:line="320" w:lineRule="exact"/>
              <w:ind w:right="0" w:firstLine="0" w:firstLineChars="0"/>
              <w:jc w:val="center"/>
              <w:textAlignment w:val="auto"/>
              <w:rPr>
                <w:rFonts w:hint="default" w:ascii="Times New Roman" w:hAnsi="Times New Roman" w:eastAsia="宋体" w:cs="Times New Roman"/>
                <w:b/>
                <w:bCs w:val="0"/>
                <w:color w:val="0C0C0C"/>
                <w:kern w:val="0"/>
                <w:sz w:val="21"/>
                <w:szCs w:val="21"/>
                <w:highlight w:val="none"/>
                <w:lang w:val="en" w:bidi="ar"/>
              </w:rPr>
            </w:pPr>
            <w:r>
              <w:rPr>
                <w:rFonts w:hint="default" w:ascii="Times New Roman" w:hAnsi="Times New Roman" w:eastAsia="宋体" w:cs="Times New Roman"/>
                <w:b/>
                <w:bCs w:val="0"/>
                <w:color w:val="0C0C0C"/>
                <w:kern w:val="0"/>
                <w:sz w:val="21"/>
                <w:szCs w:val="21"/>
                <w:highlight w:val="none"/>
                <w:lang w:val="en" w:eastAsia="zh-CN" w:bidi="ar"/>
              </w:rPr>
              <w:t>合　计</w:t>
            </w:r>
          </w:p>
        </w:tc>
        <w:tc>
          <w:tcPr>
            <w:tcW w:w="1212" w:type="pct"/>
            <w:tcBorders>
              <w:top w:val="single" w:color="auto" w:sz="4" w:space="0"/>
              <w:left w:val="single" w:color="auto" w:sz="4" w:space="0"/>
              <w:bottom w:val="nil"/>
              <w:right w:val="single" w:color="auto" w:sz="4" w:space="0"/>
            </w:tcBorders>
            <w:noWrap w:val="0"/>
            <w:vAlign w:val="center"/>
          </w:tcPr>
          <w:p w14:paraId="4F8EF26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 w:eastAsia="zh-CN" w:bidi="ar"/>
              </w:rPr>
            </w:pPr>
            <w:r>
              <w:rPr>
                <w:rFonts w:hint="default" w:ascii="Times New Roman" w:hAnsi="Times New Roman" w:eastAsia="宋体" w:cs="Times New Roman"/>
                <w:b/>
                <w:bCs w:val="0"/>
                <w:i w:val="0"/>
                <w:iCs w:val="0"/>
                <w:color w:val="0C0C0C"/>
                <w:kern w:val="0"/>
                <w:sz w:val="21"/>
                <w:szCs w:val="21"/>
                <w:highlight w:val="none"/>
                <w:u w:val="none"/>
                <w:lang w:val="en" w:eastAsia="zh-CN" w:bidi="ar"/>
              </w:rPr>
              <w:t>1972</w:t>
            </w:r>
          </w:p>
        </w:tc>
        <w:tc>
          <w:tcPr>
            <w:tcW w:w="1212" w:type="pct"/>
            <w:tcBorders>
              <w:top w:val="single" w:color="auto" w:sz="4" w:space="0"/>
              <w:left w:val="single" w:color="auto" w:sz="4" w:space="0"/>
              <w:bottom w:val="nil"/>
              <w:right w:val="nil"/>
            </w:tcBorders>
            <w:noWrap w:val="0"/>
            <w:vAlign w:val="center"/>
          </w:tcPr>
          <w:p w14:paraId="02A24AC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 w:eastAsia="zh-CN" w:bidi="ar"/>
              </w:rPr>
            </w:pPr>
            <w:r>
              <w:rPr>
                <w:rFonts w:hint="default" w:ascii="Times New Roman" w:hAnsi="Times New Roman" w:eastAsia="宋体" w:cs="Times New Roman"/>
                <w:b/>
                <w:bCs w:val="0"/>
                <w:i w:val="0"/>
                <w:iCs w:val="0"/>
                <w:color w:val="0C0C0C"/>
                <w:kern w:val="0"/>
                <w:sz w:val="21"/>
                <w:szCs w:val="21"/>
                <w:highlight w:val="none"/>
                <w:u w:val="none"/>
                <w:lang w:val="en" w:eastAsia="zh-CN" w:bidi="ar"/>
              </w:rPr>
              <w:t>16350</w:t>
            </w:r>
          </w:p>
        </w:tc>
      </w:tr>
      <w:tr w14:paraId="5053A44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574" w:type="pct"/>
            <w:tcBorders>
              <w:top w:val="nil"/>
              <w:left w:val="nil"/>
              <w:bottom w:val="nil"/>
              <w:right w:val="single" w:color="auto" w:sz="4" w:space="0"/>
            </w:tcBorders>
            <w:noWrap w:val="0"/>
            <w:vAlign w:val="center"/>
          </w:tcPr>
          <w:p w14:paraId="59AF01F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Autospacing="0" w:line="320" w:lineRule="exact"/>
              <w:ind w:right="0" w:firstLine="0" w:firstLineChars="0"/>
              <w:jc w:val="left"/>
              <w:textAlignment w:val="auto"/>
              <w:rPr>
                <w:rFonts w:hint="default" w:ascii="Times New Roman" w:hAnsi="Times New Roman" w:eastAsia="宋体" w:cs="Times New Roman"/>
                <w:b w:val="0"/>
                <w:bCs/>
                <w:color w:val="0C0C0C"/>
                <w:kern w:val="0"/>
                <w:sz w:val="21"/>
                <w:szCs w:val="21"/>
                <w:highlight w:val="none"/>
                <w:lang w:val="en" w:bidi="ar"/>
              </w:rPr>
            </w:pPr>
            <w:r>
              <w:rPr>
                <w:rFonts w:hint="default" w:ascii="Times New Roman" w:hAnsi="Times New Roman" w:eastAsia="宋体" w:cs="Times New Roman"/>
                <w:b w:val="0"/>
                <w:bCs/>
                <w:color w:val="0C0C0C"/>
                <w:kern w:val="0"/>
                <w:sz w:val="21"/>
                <w:szCs w:val="21"/>
                <w:highlight w:val="none"/>
                <w:lang w:val="en" w:eastAsia="zh-CN" w:bidi="ar"/>
              </w:rPr>
              <w:t>内资企业</w:t>
            </w:r>
          </w:p>
        </w:tc>
        <w:tc>
          <w:tcPr>
            <w:tcW w:w="1212" w:type="pct"/>
            <w:tcBorders>
              <w:top w:val="nil"/>
              <w:left w:val="single" w:color="auto" w:sz="4" w:space="0"/>
              <w:bottom w:val="nil"/>
              <w:right w:val="single" w:color="auto" w:sz="4" w:space="0"/>
            </w:tcBorders>
            <w:noWrap w:val="0"/>
            <w:vAlign w:val="center"/>
          </w:tcPr>
          <w:p w14:paraId="6DBB1E9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1955</w:t>
            </w:r>
          </w:p>
        </w:tc>
        <w:tc>
          <w:tcPr>
            <w:tcW w:w="1212" w:type="pct"/>
            <w:tcBorders>
              <w:top w:val="nil"/>
              <w:left w:val="single" w:color="auto" w:sz="4" w:space="0"/>
              <w:bottom w:val="nil"/>
              <w:right w:val="nil"/>
            </w:tcBorders>
            <w:noWrap w:val="0"/>
            <w:vAlign w:val="center"/>
          </w:tcPr>
          <w:p w14:paraId="13B34D1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16274</w:t>
            </w:r>
          </w:p>
        </w:tc>
      </w:tr>
      <w:tr w14:paraId="77BEEE5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574" w:type="pct"/>
            <w:tcBorders>
              <w:top w:val="nil"/>
              <w:left w:val="nil"/>
              <w:bottom w:val="single" w:color="auto" w:sz="12" w:space="0"/>
              <w:right w:val="single" w:color="auto" w:sz="4" w:space="0"/>
            </w:tcBorders>
            <w:noWrap w:val="0"/>
            <w:vAlign w:val="center"/>
          </w:tcPr>
          <w:p w14:paraId="35422CD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Autospacing="0" w:line="320" w:lineRule="exact"/>
              <w:ind w:right="0" w:rightChars="0" w:firstLine="0" w:firstLineChars="0"/>
              <w:jc w:val="left"/>
              <w:textAlignment w:val="auto"/>
              <w:rPr>
                <w:rFonts w:hint="default" w:ascii="Times New Roman" w:hAnsi="Times New Roman" w:eastAsia="宋体" w:cs="Times New Roman"/>
                <w:b w:val="0"/>
                <w:bCs/>
                <w:color w:val="0C0C0C"/>
                <w:kern w:val="0"/>
                <w:sz w:val="21"/>
                <w:szCs w:val="21"/>
                <w:highlight w:val="none"/>
                <w:lang w:val="en" w:eastAsia="zh-CN" w:bidi="ar"/>
              </w:rPr>
            </w:pPr>
            <w:r>
              <w:rPr>
                <w:rFonts w:hint="eastAsia" w:eastAsia="宋体" w:cs="Times New Roman"/>
                <w:b w:val="0"/>
                <w:bCs/>
                <w:color w:val="0C0C0C"/>
                <w:kern w:val="0"/>
                <w:sz w:val="21"/>
                <w:szCs w:val="21"/>
                <w:highlight w:val="none"/>
                <w:lang w:val="en" w:eastAsia="zh-CN" w:bidi="ar"/>
              </w:rPr>
              <w:t>港澳台、外商和其他投资企业</w:t>
            </w:r>
          </w:p>
        </w:tc>
        <w:tc>
          <w:tcPr>
            <w:tcW w:w="1212" w:type="pct"/>
            <w:tcBorders>
              <w:top w:val="nil"/>
              <w:left w:val="single" w:color="auto" w:sz="4" w:space="0"/>
              <w:bottom w:val="single" w:color="auto" w:sz="12" w:space="0"/>
              <w:right w:val="single" w:color="auto" w:sz="4" w:space="0"/>
            </w:tcBorders>
            <w:noWrap w:val="0"/>
            <w:vAlign w:val="center"/>
          </w:tcPr>
          <w:p w14:paraId="3D11A9A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eastAsia" w:eastAsia="宋体" w:cs="Times New Roman"/>
                <w:bCs/>
                <w:i w:val="0"/>
                <w:iCs w:val="0"/>
                <w:color w:val="0C0C0C"/>
                <w:kern w:val="0"/>
                <w:sz w:val="21"/>
                <w:szCs w:val="21"/>
                <w:highlight w:val="none"/>
                <w:u w:val="none"/>
                <w:lang w:val="en-US" w:eastAsia="zh-CN" w:bidi="ar"/>
              </w:rPr>
              <w:t>17</w:t>
            </w:r>
          </w:p>
        </w:tc>
        <w:tc>
          <w:tcPr>
            <w:tcW w:w="1212" w:type="pct"/>
            <w:tcBorders>
              <w:top w:val="nil"/>
              <w:left w:val="single" w:color="auto" w:sz="4" w:space="0"/>
              <w:bottom w:val="single" w:color="auto" w:sz="12" w:space="0"/>
              <w:right w:val="nil"/>
            </w:tcBorders>
            <w:noWrap w:val="0"/>
            <w:vAlign w:val="center"/>
          </w:tcPr>
          <w:p w14:paraId="7E24CC8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eastAsia" w:eastAsia="宋体" w:cs="Times New Roman"/>
                <w:bCs/>
                <w:i w:val="0"/>
                <w:iCs w:val="0"/>
                <w:color w:val="0C0C0C"/>
                <w:kern w:val="0"/>
                <w:sz w:val="21"/>
                <w:szCs w:val="21"/>
                <w:highlight w:val="none"/>
                <w:u w:val="none"/>
                <w:lang w:val="en-US" w:eastAsia="zh-CN" w:bidi="ar"/>
              </w:rPr>
              <w:t>76</w:t>
            </w:r>
          </w:p>
        </w:tc>
      </w:tr>
    </w:tbl>
    <w:p w14:paraId="7E9D3E2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right="0" w:firstLine="632" w:firstLineChars="200"/>
        <w:jc w:val="left"/>
        <w:textAlignment w:val="auto"/>
        <w:rPr>
          <w:rFonts w:hint="default" w:ascii="Times New Roman" w:hAnsi="Times New Roman" w:eastAsia="楷体_GB2312" w:cs="Times New Roman"/>
          <w:i w:val="0"/>
          <w:caps w:val="0"/>
          <w:color w:val="0C0C0C"/>
          <w:spacing w:val="0"/>
          <w:kern w:val="0"/>
          <w:sz w:val="32"/>
          <w:szCs w:val="32"/>
          <w:highlight w:val="none"/>
          <w:lang w:bidi="ar"/>
        </w:rPr>
      </w:pPr>
      <w:r>
        <w:rPr>
          <w:rFonts w:hint="default" w:ascii="Times New Roman" w:hAnsi="Times New Roman" w:eastAsia="楷体_GB2312" w:cs="Times New Roman"/>
          <w:i w:val="0"/>
          <w:caps w:val="0"/>
          <w:color w:val="0C0C0C"/>
          <w:spacing w:val="0"/>
          <w:kern w:val="0"/>
          <w:sz w:val="32"/>
          <w:szCs w:val="32"/>
          <w:highlight w:val="none"/>
          <w:lang w:val="en-US" w:eastAsia="zh-CN" w:bidi="ar"/>
        </w:rPr>
        <w:t>（二）主要经济指标</w:t>
      </w:r>
    </w:p>
    <w:p w14:paraId="16D9DF8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firstLine="0" w:firstLineChars="0"/>
        <w:jc w:val="both"/>
        <w:textAlignment w:val="auto"/>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 xml:space="preserve">    2023年末，科学研究和技术服务业企业法人单位资产总计</w:t>
      </w:r>
      <w:r>
        <w:rPr>
          <w:rFonts w:hint="default" w:ascii="Times New Roman" w:hAnsi="Times New Roman" w:eastAsia="仿宋_GB2312" w:cs="Times New Roman"/>
          <w:color w:val="0C0C0C"/>
          <w:sz w:val="32"/>
          <w:szCs w:val="32"/>
          <w:u w:val="none"/>
          <w:lang w:val="en-US" w:eastAsia="zh-CN"/>
        </w:rPr>
        <w:t>123.96</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820.3</w:t>
      </w:r>
      <w:r>
        <w:rPr>
          <w:rFonts w:hint="default" w:ascii="Times New Roman" w:hAnsi="Times New Roman" w:eastAsia="仿宋_GB2312" w:cs="Times New Roman"/>
          <w:color w:val="0C0C0C"/>
          <w:spacing w:val="-6"/>
          <w:kern w:val="2"/>
          <w:sz w:val="32"/>
          <w:szCs w:val="32"/>
          <w:u w:val="none"/>
          <w:lang w:val="en-US" w:eastAsia="zh-CN" w:bidi="ar-SA"/>
        </w:rPr>
        <w:t>%；负债合计</w:t>
      </w:r>
      <w:r>
        <w:rPr>
          <w:rFonts w:hint="default" w:ascii="Times New Roman" w:hAnsi="Times New Roman" w:eastAsia="仿宋_GB2312" w:cs="Times New Roman"/>
          <w:color w:val="0C0C0C"/>
          <w:sz w:val="32"/>
          <w:szCs w:val="32"/>
          <w:u w:val="none"/>
          <w:lang w:val="en-US" w:eastAsia="zh-CN"/>
        </w:rPr>
        <w:t>40.6</w:t>
      </w:r>
      <w:r>
        <w:rPr>
          <w:rFonts w:hint="default" w:eastAsia="仿宋_GB2312" w:cs="Times New Roman"/>
          <w:color w:val="0C0C0C"/>
          <w:sz w:val="32"/>
          <w:szCs w:val="32"/>
          <w:u w:val="none"/>
          <w:lang w:val="en-US" w:eastAsia="zh-CN"/>
        </w:rPr>
        <w:t>0</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1797.2</w:t>
      </w:r>
      <w:r>
        <w:rPr>
          <w:rFonts w:hint="default" w:ascii="Times New Roman" w:hAnsi="Times New Roman" w:eastAsia="仿宋_GB2312" w:cs="Times New Roman"/>
          <w:color w:val="0C0C0C"/>
          <w:spacing w:val="-6"/>
          <w:kern w:val="2"/>
          <w:sz w:val="32"/>
          <w:szCs w:val="32"/>
          <w:u w:val="none"/>
          <w:lang w:val="en-US" w:eastAsia="zh-CN" w:bidi="ar-SA"/>
        </w:rPr>
        <w:t>%。</w:t>
      </w:r>
    </w:p>
    <w:p w14:paraId="7CAC2C7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firstLine="0" w:firstLineChars="0"/>
        <w:jc w:val="both"/>
        <w:textAlignment w:val="auto"/>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 xml:space="preserve">    2023年，科学研究和技术服务业企业法人单位全年实现营业收入</w:t>
      </w:r>
      <w:r>
        <w:rPr>
          <w:rFonts w:hint="default" w:ascii="Times New Roman" w:hAnsi="Times New Roman" w:eastAsia="仿宋_GB2312" w:cs="Times New Roman"/>
          <w:color w:val="0C0C0C"/>
          <w:sz w:val="32"/>
          <w:szCs w:val="32"/>
          <w:u w:val="none"/>
          <w:lang w:val="en-US" w:eastAsia="zh-CN"/>
        </w:rPr>
        <w:t>97.17</w:t>
      </w:r>
      <w:r>
        <w:rPr>
          <w:rFonts w:hint="default" w:ascii="Times New Roman" w:hAnsi="Times New Roman" w:eastAsia="仿宋_GB2312" w:cs="Times New Roman"/>
          <w:color w:val="0C0C0C"/>
          <w:spacing w:val="-6"/>
          <w:kern w:val="2"/>
          <w:sz w:val="32"/>
          <w:szCs w:val="32"/>
          <w:u w:val="none"/>
          <w:lang w:val="en-US" w:eastAsia="zh-CN" w:bidi="ar-SA"/>
        </w:rPr>
        <w:t>亿元，比2018年增长</w:t>
      </w:r>
      <w:r>
        <w:rPr>
          <w:rFonts w:hint="default" w:ascii="Times New Roman" w:hAnsi="Times New Roman" w:eastAsia="仿宋_GB2312" w:cs="Times New Roman"/>
          <w:color w:val="0C0C0C"/>
          <w:sz w:val="32"/>
          <w:szCs w:val="32"/>
          <w:u w:val="none"/>
          <w:lang w:val="en-US" w:eastAsia="zh-CN"/>
        </w:rPr>
        <w:t>300.5</w:t>
      </w:r>
      <w:r>
        <w:rPr>
          <w:rFonts w:hint="default" w:ascii="Times New Roman" w:hAnsi="Times New Roman" w:eastAsia="仿宋_GB2312" w:cs="Times New Roman"/>
          <w:color w:val="0C0C0C"/>
          <w:spacing w:val="-6"/>
          <w:kern w:val="2"/>
          <w:sz w:val="32"/>
          <w:szCs w:val="32"/>
          <w:u w:val="none"/>
          <w:lang w:val="en-US" w:eastAsia="zh-CN" w:bidi="ar-SA"/>
        </w:rPr>
        <w:t>%（详见表</w:t>
      </w:r>
      <w:r>
        <w:rPr>
          <w:rFonts w:hint="eastAsia" w:eastAsia="仿宋_GB2312" w:cs="Times New Roman"/>
          <w:color w:val="0C0C0C"/>
          <w:spacing w:val="-6"/>
          <w:kern w:val="2"/>
          <w:sz w:val="32"/>
          <w:szCs w:val="32"/>
          <w:u w:val="none"/>
          <w:lang w:val="en-US" w:eastAsia="zh-CN" w:bidi="ar-SA"/>
        </w:rPr>
        <w:t>4</w:t>
      </w:r>
      <w:r>
        <w:rPr>
          <w:rFonts w:hint="default" w:ascii="Times New Roman" w:hAnsi="Times New Roman" w:eastAsia="仿宋_GB2312" w:cs="Times New Roman"/>
          <w:color w:val="0C0C0C"/>
          <w:spacing w:val="-6"/>
          <w:kern w:val="2"/>
          <w:sz w:val="32"/>
          <w:szCs w:val="32"/>
          <w:u w:val="none"/>
          <w:lang w:val="en-US" w:eastAsia="zh-CN" w:bidi="ar-SA"/>
        </w:rPr>
        <w:t>-3）。</w:t>
      </w:r>
    </w:p>
    <w:p w14:paraId="23D1C3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176" w:afterLines="30" w:afterAutospacing="0" w:line="600" w:lineRule="exact"/>
        <w:ind w:left="0" w:right="0" w:firstLine="0" w:firstLineChars="0"/>
        <w:jc w:val="center"/>
        <w:textAlignment w:val="auto"/>
        <w:rPr>
          <w:rFonts w:hint="default" w:ascii="Times New Roman" w:hAnsi="Times New Roman" w:eastAsia="宋体" w:cs="Times New Roman"/>
          <w:b/>
          <w:i w:val="0"/>
          <w:caps w:val="0"/>
          <w:color w:val="0C0C0C"/>
          <w:spacing w:val="-6"/>
          <w:kern w:val="0"/>
          <w:sz w:val="24"/>
          <w:szCs w:val="24"/>
          <w:highlight w:val="none"/>
          <w:lang w:val="en-US" w:eastAsia="zh-CN" w:bidi="ar"/>
        </w:rPr>
      </w:pPr>
      <w:r>
        <w:rPr>
          <w:rFonts w:hint="default" w:ascii="Times New Roman" w:hAnsi="Times New Roman" w:eastAsia="宋体" w:cs="Times New Roman"/>
          <w:b/>
          <w:i w:val="0"/>
          <w:caps w:val="0"/>
          <w:color w:val="0C0C0C"/>
          <w:spacing w:val="-6"/>
          <w:kern w:val="0"/>
          <w:sz w:val="24"/>
          <w:szCs w:val="24"/>
          <w:highlight w:val="none"/>
          <w:lang w:val="en-US" w:eastAsia="zh-CN" w:bidi="ar"/>
        </w:rPr>
        <w:t>表</w:t>
      </w:r>
      <w:r>
        <w:rPr>
          <w:rFonts w:hint="eastAsia" w:eastAsia="宋体" w:cs="Times New Roman"/>
          <w:b/>
          <w:i w:val="0"/>
          <w:caps w:val="0"/>
          <w:color w:val="0C0C0C"/>
          <w:spacing w:val="-6"/>
          <w:kern w:val="0"/>
          <w:sz w:val="24"/>
          <w:szCs w:val="24"/>
          <w:highlight w:val="none"/>
          <w:lang w:val="en-US" w:eastAsia="zh-CN" w:bidi="ar"/>
        </w:rPr>
        <w:t>4</w:t>
      </w:r>
      <w:r>
        <w:rPr>
          <w:rFonts w:hint="default" w:ascii="Times New Roman" w:hAnsi="Times New Roman" w:eastAsia="宋体" w:cs="Times New Roman"/>
          <w:b/>
          <w:i w:val="0"/>
          <w:caps w:val="0"/>
          <w:color w:val="0C0C0C"/>
          <w:spacing w:val="-6"/>
          <w:kern w:val="0"/>
          <w:sz w:val="24"/>
          <w:szCs w:val="24"/>
          <w:highlight w:val="none"/>
          <w:lang w:val="en-US" w:eastAsia="zh-CN" w:bidi="ar"/>
        </w:rPr>
        <w:t>-3　按行业大类分组的科学研究和技术服务业企业法人单位主要经济指标</w:t>
      </w:r>
    </w:p>
    <w:tbl>
      <w:tblPr>
        <w:tblStyle w:val="18"/>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041"/>
        <w:gridCol w:w="1563"/>
        <w:gridCol w:w="1563"/>
        <w:gridCol w:w="1565"/>
      </w:tblGrid>
      <w:tr w14:paraId="348009F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567" w:hRule="atLeast"/>
          <w:tblHeader/>
          <w:jc w:val="center"/>
        </w:trPr>
        <w:tc>
          <w:tcPr>
            <w:tcW w:w="4041" w:type="dxa"/>
            <w:tcBorders>
              <w:top w:val="single" w:color="auto" w:sz="12" w:space="0"/>
              <w:left w:val="nil"/>
              <w:bottom w:val="single" w:color="auto" w:sz="4" w:space="0"/>
              <w:right w:val="single" w:color="auto" w:sz="4" w:space="0"/>
            </w:tcBorders>
            <w:noWrap w:val="0"/>
            <w:vAlign w:val="center"/>
          </w:tcPr>
          <w:p w14:paraId="3269FF9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color w:val="0C0C0C"/>
                <w:sz w:val="21"/>
                <w:szCs w:val="21"/>
                <w:highlight w:val="none"/>
              </w:rPr>
            </w:pPr>
          </w:p>
        </w:tc>
        <w:tc>
          <w:tcPr>
            <w:tcW w:w="1563" w:type="dxa"/>
            <w:tcBorders>
              <w:top w:val="single" w:color="auto" w:sz="12" w:space="0"/>
              <w:left w:val="single" w:color="auto" w:sz="4" w:space="0"/>
              <w:bottom w:val="single" w:color="auto" w:sz="4" w:space="0"/>
              <w:right w:val="single" w:color="auto" w:sz="4" w:space="0"/>
            </w:tcBorders>
            <w:noWrap w:val="0"/>
            <w:vAlign w:val="center"/>
          </w:tcPr>
          <w:p w14:paraId="78A9A37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资产总计</w:t>
            </w:r>
          </w:p>
          <w:p w14:paraId="66BFB25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（亿元）</w:t>
            </w:r>
          </w:p>
        </w:tc>
        <w:tc>
          <w:tcPr>
            <w:tcW w:w="1563" w:type="dxa"/>
            <w:tcBorders>
              <w:top w:val="single" w:color="auto" w:sz="12" w:space="0"/>
              <w:left w:val="single" w:color="auto" w:sz="4" w:space="0"/>
              <w:bottom w:val="single" w:color="auto" w:sz="4" w:space="0"/>
              <w:right w:val="single" w:color="auto" w:sz="4" w:space="0"/>
            </w:tcBorders>
            <w:noWrap w:val="0"/>
            <w:vAlign w:val="center"/>
          </w:tcPr>
          <w:p w14:paraId="4620232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负债合计</w:t>
            </w:r>
          </w:p>
          <w:p w14:paraId="39A7F24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（亿元）</w:t>
            </w:r>
          </w:p>
        </w:tc>
        <w:tc>
          <w:tcPr>
            <w:tcW w:w="1565" w:type="dxa"/>
            <w:tcBorders>
              <w:top w:val="single" w:color="auto" w:sz="12" w:space="0"/>
              <w:left w:val="single" w:color="auto" w:sz="4" w:space="0"/>
              <w:bottom w:val="single" w:color="auto" w:sz="4" w:space="0"/>
              <w:right w:val="nil"/>
            </w:tcBorders>
            <w:noWrap w:val="0"/>
            <w:vAlign w:val="center"/>
          </w:tcPr>
          <w:p w14:paraId="10572A3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营业收入</w:t>
            </w:r>
          </w:p>
          <w:p w14:paraId="1B1B1CC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（亿元）</w:t>
            </w:r>
          </w:p>
        </w:tc>
      </w:tr>
      <w:tr w14:paraId="20926F3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041" w:type="dxa"/>
            <w:tcBorders>
              <w:top w:val="single" w:color="auto" w:sz="4" w:space="0"/>
              <w:left w:val="nil"/>
              <w:bottom w:val="nil"/>
              <w:right w:val="single" w:color="auto" w:sz="4" w:space="0"/>
            </w:tcBorders>
            <w:noWrap w:val="0"/>
            <w:vAlign w:val="center"/>
          </w:tcPr>
          <w:p w14:paraId="52CFB9A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center"/>
              <w:textAlignment w:val="auto"/>
              <w:rPr>
                <w:rFonts w:hint="default" w:ascii="Times New Roman" w:hAnsi="Times New Roman" w:eastAsia="宋体" w:cs="Times New Roman"/>
                <w:b/>
                <w:bCs w:val="0"/>
                <w:color w:val="0C0C0C"/>
                <w:kern w:val="0"/>
                <w:sz w:val="21"/>
                <w:szCs w:val="21"/>
                <w:highlight w:val="none"/>
                <w:lang w:bidi="ar"/>
              </w:rPr>
            </w:pPr>
            <w:r>
              <w:rPr>
                <w:rFonts w:hint="default" w:ascii="Times New Roman" w:hAnsi="Times New Roman" w:eastAsia="宋体" w:cs="Times New Roman"/>
                <w:b/>
                <w:bCs w:val="0"/>
                <w:color w:val="0C0C0C"/>
                <w:kern w:val="0"/>
                <w:sz w:val="21"/>
                <w:szCs w:val="21"/>
                <w:highlight w:val="none"/>
                <w:lang w:val="en-US" w:eastAsia="zh-CN" w:bidi="ar"/>
              </w:rPr>
              <w:t>合　计</w:t>
            </w:r>
          </w:p>
        </w:tc>
        <w:tc>
          <w:tcPr>
            <w:tcW w:w="1563" w:type="dxa"/>
            <w:tcBorders>
              <w:top w:val="single" w:color="auto" w:sz="4" w:space="0"/>
              <w:left w:val="single" w:color="auto" w:sz="4" w:space="0"/>
              <w:bottom w:val="nil"/>
              <w:right w:val="single" w:color="auto" w:sz="4" w:space="0"/>
            </w:tcBorders>
            <w:noWrap w:val="0"/>
            <w:vAlign w:val="center"/>
          </w:tcPr>
          <w:p w14:paraId="321CB89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US" w:eastAsia="zh-CN" w:bidi="ar"/>
              </w:rPr>
            </w:pPr>
            <w:r>
              <w:rPr>
                <w:rFonts w:hint="default" w:ascii="Times New Roman" w:hAnsi="Times New Roman" w:eastAsia="宋体" w:cs="Times New Roman"/>
                <w:b/>
                <w:bCs w:val="0"/>
                <w:i w:val="0"/>
                <w:iCs w:val="0"/>
                <w:color w:val="0C0C0C"/>
                <w:kern w:val="0"/>
                <w:sz w:val="21"/>
                <w:szCs w:val="21"/>
                <w:highlight w:val="none"/>
                <w:u w:val="none"/>
                <w:lang w:val="en-US" w:eastAsia="zh-CN" w:bidi="ar"/>
              </w:rPr>
              <w:t xml:space="preserve">123.96 </w:t>
            </w:r>
          </w:p>
        </w:tc>
        <w:tc>
          <w:tcPr>
            <w:tcW w:w="1563" w:type="dxa"/>
            <w:tcBorders>
              <w:top w:val="single" w:color="auto" w:sz="4" w:space="0"/>
              <w:left w:val="single" w:color="auto" w:sz="4" w:space="0"/>
              <w:bottom w:val="nil"/>
              <w:right w:val="single" w:color="auto" w:sz="4" w:space="0"/>
            </w:tcBorders>
            <w:noWrap w:val="0"/>
            <w:vAlign w:val="center"/>
          </w:tcPr>
          <w:p w14:paraId="4D980D5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US" w:eastAsia="zh-CN" w:bidi="ar"/>
              </w:rPr>
            </w:pPr>
            <w:r>
              <w:rPr>
                <w:rFonts w:hint="default" w:ascii="Times New Roman" w:hAnsi="Times New Roman" w:eastAsia="宋体" w:cs="Times New Roman"/>
                <w:b/>
                <w:bCs w:val="0"/>
                <w:i w:val="0"/>
                <w:iCs w:val="0"/>
                <w:color w:val="0C0C0C"/>
                <w:kern w:val="0"/>
                <w:sz w:val="21"/>
                <w:szCs w:val="21"/>
                <w:highlight w:val="none"/>
                <w:u w:val="none"/>
                <w:lang w:val="en-US" w:eastAsia="zh-CN" w:bidi="ar"/>
              </w:rPr>
              <w:t xml:space="preserve">40.60 </w:t>
            </w:r>
          </w:p>
        </w:tc>
        <w:tc>
          <w:tcPr>
            <w:tcW w:w="1565" w:type="dxa"/>
            <w:tcBorders>
              <w:top w:val="single" w:color="auto" w:sz="4" w:space="0"/>
              <w:left w:val="single" w:color="auto" w:sz="4" w:space="0"/>
              <w:bottom w:val="nil"/>
              <w:right w:val="nil"/>
            </w:tcBorders>
            <w:noWrap w:val="0"/>
            <w:vAlign w:val="center"/>
          </w:tcPr>
          <w:p w14:paraId="0F7FCFB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US" w:eastAsia="zh-CN" w:bidi="ar"/>
              </w:rPr>
            </w:pPr>
            <w:r>
              <w:rPr>
                <w:rFonts w:hint="default" w:ascii="Times New Roman" w:hAnsi="Times New Roman" w:eastAsia="宋体" w:cs="Times New Roman"/>
                <w:b/>
                <w:bCs w:val="0"/>
                <w:i w:val="0"/>
                <w:iCs w:val="0"/>
                <w:color w:val="0C0C0C"/>
                <w:kern w:val="0"/>
                <w:sz w:val="21"/>
                <w:szCs w:val="21"/>
                <w:highlight w:val="none"/>
                <w:u w:val="none"/>
                <w:lang w:val="en-US" w:eastAsia="zh-CN" w:bidi="ar"/>
              </w:rPr>
              <w:t xml:space="preserve">97.17 </w:t>
            </w:r>
          </w:p>
        </w:tc>
      </w:tr>
      <w:tr w14:paraId="488FFD7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041" w:type="dxa"/>
            <w:tcBorders>
              <w:top w:val="nil"/>
              <w:left w:val="nil"/>
              <w:bottom w:val="nil"/>
              <w:right w:val="single" w:color="auto" w:sz="4" w:space="0"/>
            </w:tcBorders>
            <w:noWrap w:val="0"/>
            <w:vAlign w:val="center"/>
          </w:tcPr>
          <w:p w14:paraId="5FB91EC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bidi="ar"/>
              </w:rPr>
            </w:pPr>
            <w:r>
              <w:rPr>
                <w:rFonts w:hint="default" w:ascii="Times New Roman" w:hAnsi="Times New Roman" w:eastAsia="宋体" w:cs="Times New Roman"/>
                <w:bCs/>
                <w:color w:val="0C0C0C"/>
                <w:kern w:val="0"/>
                <w:sz w:val="21"/>
                <w:szCs w:val="21"/>
                <w:highlight w:val="none"/>
                <w:lang w:val="en-US" w:eastAsia="zh-CN" w:bidi="ar"/>
              </w:rPr>
              <w:t>研究和试验发展</w:t>
            </w:r>
          </w:p>
        </w:tc>
        <w:tc>
          <w:tcPr>
            <w:tcW w:w="1563" w:type="dxa"/>
            <w:tcBorders>
              <w:top w:val="nil"/>
              <w:left w:val="single" w:color="auto" w:sz="4" w:space="0"/>
              <w:bottom w:val="nil"/>
              <w:right w:val="single" w:color="auto" w:sz="4" w:space="0"/>
            </w:tcBorders>
            <w:noWrap w:val="0"/>
            <w:vAlign w:val="center"/>
          </w:tcPr>
          <w:p w14:paraId="344C6BF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26.74 </w:t>
            </w:r>
          </w:p>
        </w:tc>
        <w:tc>
          <w:tcPr>
            <w:tcW w:w="1563" w:type="dxa"/>
            <w:tcBorders>
              <w:top w:val="nil"/>
              <w:left w:val="single" w:color="auto" w:sz="4" w:space="0"/>
              <w:bottom w:val="nil"/>
              <w:right w:val="single" w:color="auto" w:sz="4" w:space="0"/>
            </w:tcBorders>
            <w:noWrap w:val="0"/>
            <w:vAlign w:val="center"/>
          </w:tcPr>
          <w:p w14:paraId="2142EA0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9.18 </w:t>
            </w:r>
          </w:p>
        </w:tc>
        <w:tc>
          <w:tcPr>
            <w:tcW w:w="1565" w:type="dxa"/>
            <w:tcBorders>
              <w:top w:val="nil"/>
              <w:left w:val="single" w:color="auto" w:sz="4" w:space="0"/>
              <w:bottom w:val="nil"/>
              <w:right w:val="nil"/>
            </w:tcBorders>
            <w:noWrap w:val="0"/>
            <w:vAlign w:val="center"/>
          </w:tcPr>
          <w:p w14:paraId="797E91C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18.83 </w:t>
            </w:r>
          </w:p>
        </w:tc>
      </w:tr>
      <w:tr w14:paraId="5544A34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041" w:type="dxa"/>
            <w:tcBorders>
              <w:top w:val="nil"/>
              <w:left w:val="nil"/>
              <w:bottom w:val="nil"/>
              <w:right w:val="single" w:color="auto" w:sz="4" w:space="0"/>
            </w:tcBorders>
            <w:noWrap w:val="0"/>
            <w:vAlign w:val="center"/>
          </w:tcPr>
          <w:p w14:paraId="07C9BEA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bidi="ar"/>
              </w:rPr>
            </w:pPr>
            <w:r>
              <w:rPr>
                <w:rFonts w:hint="default" w:ascii="Times New Roman" w:hAnsi="Times New Roman" w:eastAsia="宋体" w:cs="Times New Roman"/>
                <w:bCs/>
                <w:color w:val="0C0C0C"/>
                <w:kern w:val="0"/>
                <w:sz w:val="21"/>
                <w:szCs w:val="21"/>
                <w:highlight w:val="none"/>
                <w:lang w:val="en-US" w:eastAsia="zh-CN" w:bidi="ar"/>
              </w:rPr>
              <w:t>专业技术服务业</w:t>
            </w:r>
          </w:p>
        </w:tc>
        <w:tc>
          <w:tcPr>
            <w:tcW w:w="1563" w:type="dxa"/>
            <w:tcBorders>
              <w:top w:val="nil"/>
              <w:left w:val="single" w:color="auto" w:sz="4" w:space="0"/>
              <w:bottom w:val="nil"/>
              <w:right w:val="single" w:color="auto" w:sz="4" w:space="0"/>
            </w:tcBorders>
            <w:noWrap w:val="0"/>
            <w:vAlign w:val="center"/>
          </w:tcPr>
          <w:p w14:paraId="7ED8D87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38.20 </w:t>
            </w:r>
          </w:p>
        </w:tc>
        <w:tc>
          <w:tcPr>
            <w:tcW w:w="1563" w:type="dxa"/>
            <w:tcBorders>
              <w:top w:val="nil"/>
              <w:left w:val="single" w:color="auto" w:sz="4" w:space="0"/>
              <w:bottom w:val="nil"/>
              <w:right w:val="single" w:color="auto" w:sz="4" w:space="0"/>
            </w:tcBorders>
            <w:noWrap w:val="0"/>
            <w:vAlign w:val="center"/>
          </w:tcPr>
          <w:p w14:paraId="5885F39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14.92 </w:t>
            </w:r>
          </w:p>
        </w:tc>
        <w:tc>
          <w:tcPr>
            <w:tcW w:w="1565" w:type="dxa"/>
            <w:tcBorders>
              <w:top w:val="nil"/>
              <w:left w:val="single" w:color="auto" w:sz="4" w:space="0"/>
              <w:bottom w:val="nil"/>
              <w:right w:val="nil"/>
            </w:tcBorders>
            <w:noWrap w:val="0"/>
            <w:vAlign w:val="center"/>
          </w:tcPr>
          <w:p w14:paraId="7A3C728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25.10 </w:t>
            </w:r>
          </w:p>
        </w:tc>
      </w:tr>
      <w:tr w14:paraId="577EDA3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041" w:type="dxa"/>
            <w:tcBorders>
              <w:top w:val="nil"/>
              <w:left w:val="nil"/>
              <w:bottom w:val="single" w:color="auto" w:sz="12" w:space="0"/>
              <w:right w:val="single" w:color="auto" w:sz="4" w:space="0"/>
            </w:tcBorders>
            <w:noWrap w:val="0"/>
            <w:vAlign w:val="center"/>
          </w:tcPr>
          <w:p w14:paraId="1C34A47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bidi="ar"/>
              </w:rPr>
            </w:pPr>
            <w:r>
              <w:rPr>
                <w:rFonts w:hint="default" w:ascii="Times New Roman" w:hAnsi="Times New Roman" w:eastAsia="宋体" w:cs="Times New Roman"/>
                <w:bCs/>
                <w:color w:val="0C0C0C"/>
                <w:kern w:val="0"/>
                <w:sz w:val="21"/>
                <w:szCs w:val="21"/>
                <w:highlight w:val="none"/>
                <w:lang w:val="en-US" w:eastAsia="zh-CN" w:bidi="ar"/>
              </w:rPr>
              <w:t>科技推广和应用服务业</w:t>
            </w:r>
          </w:p>
        </w:tc>
        <w:tc>
          <w:tcPr>
            <w:tcW w:w="1563" w:type="dxa"/>
            <w:tcBorders>
              <w:top w:val="nil"/>
              <w:left w:val="single" w:color="auto" w:sz="4" w:space="0"/>
              <w:bottom w:val="single" w:color="auto" w:sz="12" w:space="0"/>
              <w:right w:val="single" w:color="auto" w:sz="4" w:space="0"/>
            </w:tcBorders>
            <w:noWrap w:val="0"/>
            <w:vAlign w:val="center"/>
          </w:tcPr>
          <w:p w14:paraId="6ABBF16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59.02 </w:t>
            </w:r>
          </w:p>
        </w:tc>
        <w:tc>
          <w:tcPr>
            <w:tcW w:w="1563" w:type="dxa"/>
            <w:tcBorders>
              <w:top w:val="nil"/>
              <w:left w:val="single" w:color="auto" w:sz="4" w:space="0"/>
              <w:bottom w:val="single" w:color="auto" w:sz="12" w:space="0"/>
              <w:right w:val="single" w:color="auto" w:sz="4" w:space="0"/>
            </w:tcBorders>
            <w:noWrap w:val="0"/>
            <w:vAlign w:val="center"/>
          </w:tcPr>
          <w:p w14:paraId="12B1DB5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16.50 </w:t>
            </w:r>
          </w:p>
        </w:tc>
        <w:tc>
          <w:tcPr>
            <w:tcW w:w="1565" w:type="dxa"/>
            <w:tcBorders>
              <w:top w:val="nil"/>
              <w:left w:val="single" w:color="auto" w:sz="4" w:space="0"/>
              <w:bottom w:val="single" w:color="auto" w:sz="12" w:space="0"/>
              <w:right w:val="nil"/>
            </w:tcBorders>
            <w:noWrap w:val="0"/>
            <w:vAlign w:val="center"/>
          </w:tcPr>
          <w:p w14:paraId="4B51F8E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53.24 </w:t>
            </w:r>
          </w:p>
        </w:tc>
      </w:tr>
    </w:tbl>
    <w:p w14:paraId="58B2547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right="0" w:firstLine="632" w:firstLineChars="200"/>
        <w:jc w:val="both"/>
        <w:textAlignment w:val="auto"/>
        <w:rPr>
          <w:rFonts w:hint="default" w:ascii="Times New Roman" w:hAnsi="Times New Roman" w:eastAsia="仿宋_GB2312" w:cs="Times New Roman"/>
          <w:i w:val="0"/>
          <w:caps w:val="0"/>
          <w:color w:val="0C0C0C"/>
          <w:spacing w:val="0"/>
          <w:kern w:val="0"/>
          <w:sz w:val="32"/>
          <w:szCs w:val="32"/>
          <w:highlight w:val="none"/>
          <w:lang w:val="en-US" w:eastAsia="zh-CN" w:bidi="ar"/>
        </w:rPr>
      </w:pPr>
      <w:r>
        <w:rPr>
          <w:rFonts w:hint="default" w:ascii="Times New Roman" w:hAnsi="Times New Roman" w:eastAsia="黑体" w:cs="Times New Roman"/>
          <w:b w:val="0"/>
          <w:bCs/>
          <w:i w:val="0"/>
          <w:caps w:val="0"/>
          <w:color w:val="0C0C0C"/>
          <w:spacing w:val="0"/>
          <w:kern w:val="0"/>
          <w:sz w:val="32"/>
          <w:szCs w:val="32"/>
          <w:highlight w:val="none"/>
          <w:lang w:val="en-US" w:eastAsia="zh-CN" w:bidi="ar"/>
        </w:rPr>
        <w:t>二、水利、环境和公共设施管理业</w:t>
      </w:r>
    </w:p>
    <w:p w14:paraId="061D3E2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right="0" w:firstLine="632" w:firstLineChars="200"/>
        <w:jc w:val="left"/>
        <w:textAlignment w:val="auto"/>
        <w:rPr>
          <w:rFonts w:hint="default" w:ascii="Times New Roman" w:hAnsi="Times New Roman" w:eastAsia="楷体_GB2312" w:cs="Times New Roman"/>
          <w:i w:val="0"/>
          <w:caps w:val="0"/>
          <w:color w:val="0C0C0C"/>
          <w:spacing w:val="0"/>
          <w:kern w:val="0"/>
          <w:sz w:val="32"/>
          <w:szCs w:val="32"/>
          <w:highlight w:val="none"/>
          <w:lang w:val="en-US" w:eastAsia="zh-CN" w:bidi="ar"/>
        </w:rPr>
      </w:pPr>
      <w:r>
        <w:rPr>
          <w:rFonts w:hint="default" w:ascii="Times New Roman" w:hAnsi="Times New Roman" w:eastAsia="楷体_GB2312" w:cs="Times New Roman"/>
          <w:i w:val="0"/>
          <w:caps w:val="0"/>
          <w:color w:val="0C0C0C"/>
          <w:spacing w:val="0"/>
          <w:kern w:val="0"/>
          <w:sz w:val="32"/>
          <w:szCs w:val="32"/>
          <w:highlight w:val="none"/>
          <w:lang w:val="en-US" w:eastAsia="zh-CN" w:bidi="ar"/>
        </w:rPr>
        <w:t>（一）法人单位数和从业人员</w:t>
      </w:r>
    </w:p>
    <w:p w14:paraId="4BB678E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beforeAutospacing="0" w:after="0" w:afterAutospacing="0" w:line="240" w:lineRule="auto"/>
        <w:ind w:left="0" w:right="0" w:firstLine="608" w:firstLineChars="200"/>
        <w:jc w:val="both"/>
        <w:textAlignment w:val="auto"/>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2023年末，全市共有水利、环境和公共设施管理业法人单位</w:t>
      </w:r>
      <w:r>
        <w:rPr>
          <w:rFonts w:hint="default" w:ascii="Times New Roman" w:hAnsi="Times New Roman" w:eastAsia="仿宋_GB2312" w:cs="Times New Roman"/>
          <w:color w:val="0C0C0C"/>
          <w:sz w:val="32"/>
          <w:szCs w:val="32"/>
          <w:u w:val="none"/>
          <w:lang w:val="en-US" w:eastAsia="zh-CN"/>
        </w:rPr>
        <w:t>167</w:t>
      </w:r>
      <w:r>
        <w:rPr>
          <w:rFonts w:hint="default" w:ascii="Times New Roman" w:hAnsi="Times New Roman" w:eastAsia="仿宋_GB2312" w:cs="Times New Roman"/>
          <w:color w:val="0C0C0C"/>
          <w:spacing w:val="-6"/>
          <w:kern w:val="2"/>
          <w:sz w:val="32"/>
          <w:szCs w:val="32"/>
          <w:u w:val="none"/>
          <w:lang w:val="en-US" w:eastAsia="zh-CN" w:bidi="ar-SA"/>
        </w:rPr>
        <w:t>个，比2018年末增长</w:t>
      </w:r>
      <w:r>
        <w:rPr>
          <w:rFonts w:hint="default" w:ascii="Times New Roman" w:hAnsi="Times New Roman" w:eastAsia="仿宋_GB2312" w:cs="Times New Roman"/>
          <w:color w:val="0C0C0C"/>
          <w:sz w:val="32"/>
          <w:szCs w:val="32"/>
          <w:u w:val="none"/>
          <w:lang w:val="en-US" w:eastAsia="zh-CN"/>
        </w:rPr>
        <w:t>41.5</w:t>
      </w:r>
      <w:r>
        <w:rPr>
          <w:rFonts w:hint="default" w:ascii="Times New Roman" w:hAnsi="Times New Roman" w:eastAsia="仿宋_GB2312" w:cs="Times New Roman"/>
          <w:color w:val="0C0C0C"/>
          <w:spacing w:val="-6"/>
          <w:kern w:val="2"/>
          <w:sz w:val="32"/>
          <w:szCs w:val="32"/>
          <w:u w:val="none"/>
          <w:lang w:val="en-US" w:eastAsia="zh-CN" w:bidi="ar-SA"/>
        </w:rPr>
        <w:t>%，从业人员</w:t>
      </w:r>
      <w:r>
        <w:rPr>
          <w:rFonts w:hint="default" w:ascii="Times New Roman" w:hAnsi="Times New Roman" w:eastAsia="仿宋_GB2312" w:cs="Times New Roman"/>
          <w:color w:val="0C0C0C"/>
          <w:sz w:val="32"/>
          <w:szCs w:val="32"/>
          <w:u w:val="none"/>
          <w:lang w:val="en-US" w:eastAsia="zh-CN"/>
        </w:rPr>
        <w:t>1910</w:t>
      </w:r>
      <w:r>
        <w:rPr>
          <w:rFonts w:hint="default" w:ascii="Times New Roman" w:hAnsi="Times New Roman" w:eastAsia="仿宋_GB2312" w:cs="Times New Roman"/>
          <w:color w:val="0C0C0C"/>
          <w:spacing w:val="-6"/>
          <w:kern w:val="2"/>
          <w:sz w:val="32"/>
          <w:szCs w:val="32"/>
          <w:u w:val="none"/>
          <w:lang w:val="en-US" w:eastAsia="zh-CN" w:bidi="ar-SA"/>
        </w:rPr>
        <w:t>人，比2018年末下降12.3%。其中，行政事业及非企业法人单位</w:t>
      </w:r>
      <w:r>
        <w:rPr>
          <w:rFonts w:hint="default" w:ascii="Times New Roman" w:hAnsi="Times New Roman" w:eastAsia="仿宋_GB2312" w:cs="Times New Roman"/>
          <w:color w:val="0C0C0C"/>
          <w:sz w:val="32"/>
          <w:szCs w:val="32"/>
          <w:u w:val="none"/>
          <w:lang w:val="en-US" w:eastAsia="zh-CN"/>
        </w:rPr>
        <w:t>8</w:t>
      </w:r>
      <w:r>
        <w:rPr>
          <w:rFonts w:hint="default" w:ascii="Times New Roman" w:hAnsi="Times New Roman" w:eastAsia="仿宋_GB2312" w:cs="Times New Roman"/>
          <w:color w:val="0C0C0C"/>
          <w:spacing w:val="-6"/>
          <w:kern w:val="2"/>
          <w:sz w:val="32"/>
          <w:szCs w:val="32"/>
          <w:u w:val="none"/>
          <w:lang w:val="en-US" w:eastAsia="zh-CN" w:bidi="ar-SA"/>
        </w:rPr>
        <w:t>个，从业人员</w:t>
      </w:r>
      <w:r>
        <w:rPr>
          <w:rFonts w:hint="default" w:ascii="Times New Roman" w:hAnsi="Times New Roman" w:eastAsia="仿宋_GB2312" w:cs="Times New Roman"/>
          <w:color w:val="0C0C0C"/>
          <w:sz w:val="32"/>
          <w:szCs w:val="32"/>
          <w:u w:val="none"/>
          <w:lang w:val="en-US" w:eastAsia="zh-CN"/>
        </w:rPr>
        <w:t>138</w:t>
      </w:r>
      <w:r>
        <w:rPr>
          <w:rFonts w:hint="default" w:ascii="Times New Roman" w:hAnsi="Times New Roman" w:eastAsia="仿宋_GB2312" w:cs="Times New Roman"/>
          <w:color w:val="0C0C0C"/>
          <w:spacing w:val="-6"/>
          <w:kern w:val="2"/>
          <w:sz w:val="32"/>
          <w:szCs w:val="32"/>
          <w:u w:val="none"/>
          <w:lang w:val="en-US" w:eastAsia="zh-CN" w:bidi="ar-SA"/>
        </w:rPr>
        <w:t>人，分别比2018年末下降</w:t>
      </w:r>
      <w:r>
        <w:rPr>
          <w:rFonts w:hint="default" w:ascii="Times New Roman" w:hAnsi="Times New Roman" w:eastAsia="仿宋_GB2312" w:cs="Times New Roman"/>
          <w:color w:val="0C0C0C"/>
          <w:sz w:val="32"/>
          <w:szCs w:val="32"/>
          <w:u w:val="none"/>
          <w:lang w:val="en-US" w:eastAsia="zh-CN"/>
        </w:rPr>
        <w:t>27.3</w:t>
      </w:r>
      <w:r>
        <w:rPr>
          <w:rFonts w:hint="default" w:ascii="Times New Roman" w:hAnsi="Times New Roman" w:eastAsia="仿宋_GB2312" w:cs="Times New Roman"/>
          <w:color w:val="0C0C0C"/>
          <w:spacing w:val="-6"/>
          <w:kern w:val="2"/>
          <w:sz w:val="32"/>
          <w:szCs w:val="32"/>
          <w:u w:val="none"/>
          <w:lang w:val="en-US" w:eastAsia="zh-CN" w:bidi="ar-SA"/>
        </w:rPr>
        <w:t>%和14.8%。</w:t>
      </w:r>
    </w:p>
    <w:p w14:paraId="2B5722E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right="0" w:firstLine="632" w:firstLineChars="200"/>
        <w:jc w:val="left"/>
        <w:textAlignment w:val="auto"/>
        <w:rPr>
          <w:rFonts w:hint="default" w:ascii="Times New Roman" w:hAnsi="Times New Roman" w:eastAsia="楷体_GB2312" w:cs="Times New Roman"/>
          <w:i w:val="0"/>
          <w:caps w:val="0"/>
          <w:color w:val="0C0C0C"/>
          <w:spacing w:val="0"/>
          <w:kern w:val="0"/>
          <w:sz w:val="32"/>
          <w:szCs w:val="32"/>
          <w:highlight w:val="none"/>
          <w:lang w:val="en-US" w:eastAsia="zh-CN" w:bidi="ar"/>
        </w:rPr>
      </w:pPr>
      <w:r>
        <w:rPr>
          <w:rFonts w:hint="default" w:ascii="Times New Roman" w:hAnsi="Times New Roman" w:eastAsia="楷体_GB2312" w:cs="Times New Roman"/>
          <w:i w:val="0"/>
          <w:caps w:val="0"/>
          <w:color w:val="0C0C0C"/>
          <w:spacing w:val="0"/>
          <w:kern w:val="0"/>
          <w:sz w:val="32"/>
          <w:szCs w:val="32"/>
          <w:highlight w:val="none"/>
          <w:lang w:val="en-US" w:eastAsia="zh-CN" w:bidi="ar"/>
        </w:rPr>
        <w:t>（二）主要经济指标</w:t>
      </w:r>
    </w:p>
    <w:p w14:paraId="5B648A4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beforeAutospacing="0" w:after="0" w:afterAutospacing="0" w:line="240" w:lineRule="auto"/>
        <w:ind w:left="0" w:right="0" w:firstLine="608" w:firstLineChars="200"/>
        <w:jc w:val="both"/>
        <w:textAlignment w:val="auto"/>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2023年末，水利、环境和公共设施管理业企业法人单位资产总计</w:t>
      </w:r>
      <w:r>
        <w:rPr>
          <w:rFonts w:hint="default" w:ascii="Times New Roman" w:hAnsi="Times New Roman" w:eastAsia="仿宋_GB2312" w:cs="Times New Roman"/>
          <w:color w:val="0C0C0C"/>
          <w:sz w:val="32"/>
          <w:szCs w:val="32"/>
          <w:u w:val="none"/>
          <w:lang w:val="en-US" w:eastAsia="zh-CN"/>
        </w:rPr>
        <w:t>37.31</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174.1</w:t>
      </w:r>
      <w:r>
        <w:rPr>
          <w:rFonts w:hint="default" w:ascii="Times New Roman" w:hAnsi="Times New Roman" w:eastAsia="仿宋_GB2312" w:cs="Times New Roman"/>
          <w:color w:val="0C0C0C"/>
          <w:spacing w:val="-6"/>
          <w:kern w:val="2"/>
          <w:sz w:val="32"/>
          <w:szCs w:val="32"/>
          <w:u w:val="none"/>
          <w:lang w:val="en-US" w:eastAsia="zh-CN" w:bidi="ar-SA"/>
        </w:rPr>
        <w:t>%；负债合计</w:t>
      </w:r>
      <w:r>
        <w:rPr>
          <w:rFonts w:hint="default" w:ascii="Times New Roman" w:hAnsi="Times New Roman" w:eastAsia="仿宋_GB2312" w:cs="Times New Roman"/>
          <w:color w:val="0C0C0C"/>
          <w:sz w:val="32"/>
          <w:szCs w:val="32"/>
          <w:u w:val="none"/>
          <w:lang w:val="en-US" w:eastAsia="zh-CN"/>
        </w:rPr>
        <w:t>22.94</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437.2</w:t>
      </w:r>
      <w:r>
        <w:rPr>
          <w:rFonts w:hint="default" w:ascii="Times New Roman" w:hAnsi="Times New Roman" w:eastAsia="仿宋_GB2312" w:cs="Times New Roman"/>
          <w:color w:val="0C0C0C"/>
          <w:spacing w:val="-6"/>
          <w:kern w:val="2"/>
          <w:sz w:val="32"/>
          <w:szCs w:val="32"/>
          <w:u w:val="none"/>
          <w:lang w:val="en-US" w:eastAsia="zh-CN" w:bidi="ar-SA"/>
        </w:rPr>
        <w:t>%。全年实现营业收入</w:t>
      </w:r>
      <w:r>
        <w:rPr>
          <w:rFonts w:hint="default" w:ascii="Times New Roman" w:hAnsi="Times New Roman" w:eastAsia="仿宋_GB2312" w:cs="Times New Roman"/>
          <w:color w:val="0C0C0C"/>
          <w:sz w:val="32"/>
          <w:szCs w:val="32"/>
          <w:u w:val="none"/>
          <w:lang w:val="en-US" w:eastAsia="zh-CN"/>
        </w:rPr>
        <w:t>10.85</w:t>
      </w:r>
      <w:r>
        <w:rPr>
          <w:rFonts w:hint="default" w:ascii="Times New Roman" w:hAnsi="Times New Roman" w:eastAsia="仿宋_GB2312" w:cs="Times New Roman"/>
          <w:color w:val="0C0C0C"/>
          <w:spacing w:val="-6"/>
          <w:kern w:val="2"/>
          <w:sz w:val="32"/>
          <w:szCs w:val="32"/>
          <w:u w:val="none"/>
          <w:lang w:val="en-US" w:eastAsia="zh-CN" w:bidi="ar-SA"/>
        </w:rPr>
        <w:t>亿元，比2018年增长</w:t>
      </w:r>
      <w:r>
        <w:rPr>
          <w:rFonts w:hint="default" w:ascii="Times New Roman" w:hAnsi="Times New Roman" w:eastAsia="仿宋_GB2312" w:cs="Times New Roman"/>
          <w:color w:val="0C0C0C"/>
          <w:sz w:val="32"/>
          <w:szCs w:val="32"/>
          <w:u w:val="none"/>
          <w:lang w:val="en-US" w:eastAsia="zh-CN"/>
        </w:rPr>
        <w:t>53.6</w:t>
      </w:r>
      <w:r>
        <w:rPr>
          <w:rFonts w:hint="default" w:ascii="Times New Roman" w:hAnsi="Times New Roman" w:eastAsia="仿宋_GB2312" w:cs="Times New Roman"/>
          <w:color w:val="0C0C0C"/>
          <w:spacing w:val="-6"/>
          <w:kern w:val="2"/>
          <w:sz w:val="32"/>
          <w:szCs w:val="32"/>
          <w:u w:val="none"/>
          <w:lang w:val="en-US" w:eastAsia="zh-CN" w:bidi="ar-SA"/>
        </w:rPr>
        <w:t>%。</w:t>
      </w:r>
    </w:p>
    <w:p w14:paraId="7EB3AD4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beforeAutospacing="0" w:after="0" w:afterAutospacing="0" w:line="240" w:lineRule="auto"/>
        <w:ind w:left="0" w:right="0" w:firstLine="608" w:firstLineChars="200"/>
        <w:jc w:val="both"/>
        <w:textAlignment w:val="auto"/>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行政事业及非企业法人单位年末资产</w:t>
      </w:r>
      <w:r>
        <w:rPr>
          <w:rFonts w:hint="default" w:ascii="Times New Roman" w:hAnsi="Times New Roman" w:eastAsia="仿宋_GB2312" w:cs="Times New Roman"/>
          <w:color w:val="0C0C0C"/>
          <w:sz w:val="32"/>
          <w:szCs w:val="32"/>
          <w:u w:val="none"/>
          <w:lang w:val="en-US" w:eastAsia="zh-CN"/>
        </w:rPr>
        <w:t>0.4</w:t>
      </w:r>
      <w:r>
        <w:rPr>
          <w:rFonts w:hint="default" w:eastAsia="仿宋_GB2312" w:cs="Times New Roman"/>
          <w:color w:val="0C0C0C"/>
          <w:sz w:val="32"/>
          <w:szCs w:val="32"/>
          <w:u w:val="none"/>
          <w:lang w:val="en-US" w:eastAsia="zh-CN"/>
        </w:rPr>
        <w:t>0</w:t>
      </w:r>
      <w:r>
        <w:rPr>
          <w:rFonts w:hint="default" w:ascii="Times New Roman" w:hAnsi="Times New Roman" w:eastAsia="仿宋_GB2312" w:cs="Times New Roman"/>
          <w:color w:val="0C0C0C"/>
          <w:spacing w:val="-6"/>
          <w:kern w:val="2"/>
          <w:sz w:val="32"/>
          <w:szCs w:val="32"/>
          <w:u w:val="none"/>
          <w:lang w:val="en-US" w:eastAsia="zh-CN" w:bidi="ar-SA"/>
        </w:rPr>
        <w:t>亿元，比2018年末下降91.</w:t>
      </w:r>
      <w:r>
        <w:rPr>
          <w:rFonts w:hint="default" w:eastAsia="仿宋_GB2312" w:cs="Times New Roman"/>
          <w:color w:val="0C0C0C"/>
          <w:spacing w:val="-6"/>
          <w:kern w:val="2"/>
          <w:sz w:val="32"/>
          <w:szCs w:val="32"/>
          <w:u w:val="none"/>
          <w:lang w:val="en-US" w:eastAsia="zh-CN" w:bidi="ar-SA"/>
        </w:rPr>
        <w:t>6</w:t>
      </w:r>
      <w:r>
        <w:rPr>
          <w:rFonts w:hint="eastAsia" w:eastAsia="仿宋_GB2312" w:cs="Times New Roman"/>
          <w:color w:val="0C0C0C"/>
          <w:spacing w:val="-6"/>
          <w:kern w:val="2"/>
          <w:sz w:val="32"/>
          <w:szCs w:val="32"/>
          <w:u w:val="none"/>
          <w:lang w:val="en-US" w:eastAsia="zh-CN" w:bidi="ar-SA"/>
        </w:rPr>
        <w:t>％。</w:t>
      </w:r>
      <w:r>
        <w:rPr>
          <w:rFonts w:hint="default" w:ascii="Times New Roman" w:hAnsi="Times New Roman" w:eastAsia="仿宋_GB2312" w:cs="Times New Roman"/>
          <w:color w:val="0C0C0C"/>
          <w:spacing w:val="-6"/>
          <w:kern w:val="2"/>
          <w:sz w:val="32"/>
          <w:szCs w:val="32"/>
          <w:u w:val="none"/>
          <w:lang w:val="en-US" w:eastAsia="zh-CN" w:bidi="ar-SA"/>
        </w:rPr>
        <w:t>本年支出（费用）合计</w:t>
      </w:r>
      <w:r>
        <w:rPr>
          <w:rFonts w:hint="default" w:ascii="Times New Roman" w:hAnsi="Times New Roman" w:eastAsia="仿宋_GB2312" w:cs="Times New Roman"/>
          <w:color w:val="0C0C0C"/>
          <w:sz w:val="32"/>
          <w:szCs w:val="32"/>
          <w:u w:val="none"/>
          <w:lang w:val="en-US" w:eastAsia="zh-CN"/>
        </w:rPr>
        <w:t>0.2</w:t>
      </w:r>
      <w:r>
        <w:rPr>
          <w:rFonts w:hint="default" w:eastAsia="仿宋_GB2312" w:cs="Times New Roman"/>
          <w:color w:val="0C0C0C"/>
          <w:sz w:val="32"/>
          <w:szCs w:val="32"/>
          <w:u w:val="none"/>
          <w:lang w:val="en-US" w:eastAsia="zh-CN"/>
        </w:rPr>
        <w:t>2</w:t>
      </w:r>
      <w:r>
        <w:rPr>
          <w:rFonts w:hint="default" w:ascii="Times New Roman" w:hAnsi="Times New Roman" w:eastAsia="仿宋_GB2312" w:cs="Times New Roman"/>
          <w:color w:val="0C0C0C"/>
          <w:spacing w:val="-6"/>
          <w:kern w:val="2"/>
          <w:sz w:val="32"/>
          <w:szCs w:val="32"/>
          <w:u w:val="none"/>
          <w:lang w:val="en-US" w:eastAsia="zh-CN" w:bidi="ar-SA"/>
        </w:rPr>
        <w:t>亿元，比2018年下降8</w:t>
      </w:r>
      <w:r>
        <w:rPr>
          <w:rFonts w:hint="default" w:eastAsia="仿宋_GB2312" w:cs="Times New Roman"/>
          <w:color w:val="0C0C0C"/>
          <w:spacing w:val="-6"/>
          <w:kern w:val="2"/>
          <w:sz w:val="32"/>
          <w:szCs w:val="32"/>
          <w:u w:val="none"/>
          <w:lang w:val="en-US" w:eastAsia="zh-CN" w:bidi="ar-SA"/>
        </w:rPr>
        <w:t>4</w:t>
      </w:r>
      <w:r>
        <w:rPr>
          <w:rFonts w:hint="default" w:ascii="Times New Roman" w:hAnsi="Times New Roman" w:eastAsia="仿宋_GB2312" w:cs="Times New Roman"/>
          <w:color w:val="0C0C0C"/>
          <w:spacing w:val="-6"/>
          <w:kern w:val="2"/>
          <w:sz w:val="32"/>
          <w:szCs w:val="32"/>
          <w:u w:val="none"/>
          <w:lang w:val="en-US" w:eastAsia="zh-CN" w:bidi="ar-SA"/>
        </w:rPr>
        <w:t>.</w:t>
      </w:r>
      <w:r>
        <w:rPr>
          <w:rFonts w:hint="default" w:eastAsia="仿宋_GB2312" w:cs="Times New Roman"/>
          <w:color w:val="0C0C0C"/>
          <w:spacing w:val="-6"/>
          <w:kern w:val="2"/>
          <w:sz w:val="32"/>
          <w:szCs w:val="32"/>
          <w:u w:val="none"/>
          <w:lang w:val="en-US" w:eastAsia="zh-CN" w:bidi="ar-SA"/>
        </w:rPr>
        <w:t>1</w:t>
      </w:r>
      <w:r>
        <w:rPr>
          <w:rFonts w:hint="default" w:ascii="Times New Roman" w:hAnsi="Times New Roman" w:eastAsia="仿宋_GB2312" w:cs="Times New Roman"/>
          <w:color w:val="0C0C0C"/>
          <w:spacing w:val="-6"/>
          <w:kern w:val="2"/>
          <w:sz w:val="32"/>
          <w:szCs w:val="32"/>
          <w:u w:val="none"/>
          <w:lang w:val="en-US" w:eastAsia="zh-CN" w:bidi="ar-SA"/>
        </w:rPr>
        <w:t>%。</w:t>
      </w:r>
    </w:p>
    <w:p w14:paraId="1A398C3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leftChars="0" w:right="0" w:firstLine="632" w:firstLineChars="200"/>
        <w:jc w:val="both"/>
        <w:textAlignment w:val="auto"/>
        <w:rPr>
          <w:rFonts w:hint="default" w:ascii="Times New Roman" w:hAnsi="Times New Roman" w:eastAsia="黑体" w:cs="Times New Roman"/>
          <w:b w:val="0"/>
          <w:bCs/>
          <w:i w:val="0"/>
          <w:caps w:val="0"/>
          <w:color w:val="0C0C0C"/>
          <w:spacing w:val="0"/>
          <w:kern w:val="0"/>
          <w:sz w:val="32"/>
          <w:szCs w:val="32"/>
          <w:highlight w:val="none"/>
          <w:lang w:val="en-US" w:eastAsia="zh-CN" w:bidi="ar"/>
        </w:rPr>
      </w:pPr>
      <w:r>
        <w:rPr>
          <w:rFonts w:hint="default" w:ascii="Times New Roman" w:hAnsi="Times New Roman" w:eastAsia="黑体" w:cs="Times New Roman"/>
          <w:b w:val="0"/>
          <w:bCs/>
          <w:i w:val="0"/>
          <w:caps w:val="0"/>
          <w:color w:val="0C0C0C"/>
          <w:spacing w:val="0"/>
          <w:kern w:val="0"/>
          <w:sz w:val="32"/>
          <w:szCs w:val="32"/>
          <w:highlight w:val="none"/>
          <w:lang w:val="en-US" w:eastAsia="zh-CN" w:bidi="ar"/>
        </w:rPr>
        <w:t>三、居民服务、修理和其他服务业</w:t>
      </w:r>
    </w:p>
    <w:p w14:paraId="047EDC0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right="0" w:firstLine="632" w:firstLineChars="200"/>
        <w:jc w:val="left"/>
        <w:textAlignment w:val="auto"/>
        <w:rPr>
          <w:rFonts w:hint="default" w:ascii="Times New Roman" w:hAnsi="Times New Roman" w:eastAsia="楷体_GB2312" w:cs="Times New Roman"/>
          <w:i w:val="0"/>
          <w:caps w:val="0"/>
          <w:color w:val="0C0C0C"/>
          <w:spacing w:val="0"/>
          <w:kern w:val="0"/>
          <w:sz w:val="32"/>
          <w:szCs w:val="32"/>
          <w:highlight w:val="none"/>
          <w:lang w:bidi="ar"/>
        </w:rPr>
      </w:pPr>
      <w:r>
        <w:rPr>
          <w:rFonts w:hint="default" w:ascii="Times New Roman" w:hAnsi="Times New Roman" w:eastAsia="楷体_GB2312" w:cs="Times New Roman"/>
          <w:i w:val="0"/>
          <w:caps w:val="0"/>
          <w:color w:val="0C0C0C"/>
          <w:spacing w:val="0"/>
          <w:kern w:val="0"/>
          <w:sz w:val="32"/>
          <w:szCs w:val="32"/>
          <w:highlight w:val="none"/>
          <w:lang w:val="en-US" w:eastAsia="zh-CN" w:bidi="ar"/>
        </w:rPr>
        <w:t>（一）企业法人单位数和从业人员</w:t>
      </w:r>
    </w:p>
    <w:p w14:paraId="3621BAD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beforeAutospacing="0" w:after="0" w:afterAutospacing="0" w:line="240" w:lineRule="auto"/>
        <w:ind w:left="0" w:leftChars="0" w:right="0" w:firstLine="608" w:firstLineChars="200"/>
        <w:jc w:val="both"/>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C0C0C"/>
          <w:spacing w:val="-6"/>
          <w:kern w:val="2"/>
          <w:sz w:val="32"/>
          <w:szCs w:val="32"/>
          <w:u w:val="none"/>
          <w:lang w:val="en" w:eastAsia="zh-CN" w:bidi="ar-SA"/>
        </w:rPr>
        <w:t>2023年末，全市共有居民服务、修理和其他服务业企业法人单位</w:t>
      </w:r>
      <w:r>
        <w:rPr>
          <w:rFonts w:hint="default" w:ascii="Times New Roman" w:hAnsi="Times New Roman" w:eastAsia="仿宋_GB2312" w:cs="Times New Roman"/>
          <w:color w:val="0C0C0C"/>
          <w:sz w:val="32"/>
          <w:szCs w:val="32"/>
          <w:u w:val="none"/>
          <w:lang w:val="en-US" w:eastAsia="zh-CN"/>
        </w:rPr>
        <w:t>752</w:t>
      </w:r>
      <w:r>
        <w:rPr>
          <w:rFonts w:hint="default" w:ascii="Times New Roman" w:hAnsi="Times New Roman" w:eastAsia="仿宋_GB2312" w:cs="Times New Roman"/>
          <w:color w:val="0C0C0C"/>
          <w:spacing w:val="-6"/>
          <w:kern w:val="2"/>
          <w:sz w:val="32"/>
          <w:szCs w:val="32"/>
          <w:u w:val="none"/>
          <w:lang w:val="en" w:eastAsia="zh-CN" w:bidi="ar-SA"/>
        </w:rPr>
        <w:t>个，从业人员</w:t>
      </w:r>
      <w:r>
        <w:rPr>
          <w:rFonts w:hint="default" w:ascii="Times New Roman" w:hAnsi="Times New Roman" w:eastAsia="仿宋_GB2312" w:cs="Times New Roman"/>
          <w:color w:val="0C0C0C"/>
          <w:spacing w:val="-6"/>
          <w:kern w:val="2"/>
          <w:sz w:val="32"/>
          <w:szCs w:val="32"/>
          <w:u w:val="none"/>
          <w:lang w:val="en-US" w:eastAsia="zh-CN" w:bidi="ar-SA"/>
        </w:rPr>
        <w:t>5706</w:t>
      </w:r>
      <w:r>
        <w:rPr>
          <w:rFonts w:hint="default" w:ascii="Times New Roman" w:hAnsi="Times New Roman" w:eastAsia="仿宋_GB2312" w:cs="Times New Roman"/>
          <w:color w:val="0C0C0C"/>
          <w:spacing w:val="-6"/>
          <w:kern w:val="2"/>
          <w:sz w:val="32"/>
          <w:szCs w:val="32"/>
          <w:u w:val="none"/>
          <w:lang w:val="en" w:eastAsia="zh-CN" w:bidi="ar-SA"/>
        </w:rPr>
        <w:t>人，分别比2018年末增长</w:t>
      </w:r>
      <w:r>
        <w:rPr>
          <w:rFonts w:hint="default" w:ascii="Times New Roman" w:hAnsi="Times New Roman" w:eastAsia="仿宋_GB2312" w:cs="Times New Roman"/>
          <w:color w:val="0C0C0C"/>
          <w:sz w:val="32"/>
          <w:szCs w:val="32"/>
          <w:u w:val="none"/>
          <w:lang w:val="en-US" w:eastAsia="zh-CN"/>
        </w:rPr>
        <w:t>91.8</w:t>
      </w:r>
      <w:r>
        <w:rPr>
          <w:rFonts w:hint="default" w:ascii="Times New Roman" w:hAnsi="Times New Roman" w:eastAsia="仿宋_GB2312" w:cs="Times New Roman"/>
          <w:color w:val="0C0C0C"/>
          <w:spacing w:val="-6"/>
          <w:kern w:val="2"/>
          <w:sz w:val="32"/>
          <w:szCs w:val="32"/>
          <w:u w:val="none"/>
          <w:lang w:val="en" w:eastAsia="zh-CN" w:bidi="ar-SA"/>
        </w:rPr>
        <w:t>%和</w:t>
      </w:r>
      <w:r>
        <w:rPr>
          <w:rFonts w:hint="default" w:ascii="Times New Roman" w:hAnsi="Times New Roman" w:eastAsia="仿宋_GB2312" w:cs="Times New Roman"/>
          <w:color w:val="0C0C0C"/>
          <w:spacing w:val="-6"/>
          <w:kern w:val="2"/>
          <w:sz w:val="32"/>
          <w:szCs w:val="32"/>
          <w:u w:val="none"/>
          <w:lang w:val="en-US" w:eastAsia="zh-CN" w:bidi="ar-SA"/>
        </w:rPr>
        <w:t>34.9</w:t>
      </w:r>
      <w:r>
        <w:rPr>
          <w:rFonts w:hint="default" w:ascii="Times New Roman" w:hAnsi="Times New Roman" w:eastAsia="仿宋_GB2312" w:cs="Times New Roman"/>
          <w:color w:val="0C0C0C"/>
          <w:spacing w:val="-6"/>
          <w:kern w:val="2"/>
          <w:sz w:val="32"/>
          <w:szCs w:val="32"/>
          <w:u w:val="none"/>
          <w:lang w:val="en" w:eastAsia="zh-CN" w:bidi="ar-SA"/>
        </w:rPr>
        <w:t>%（详见表</w:t>
      </w:r>
      <w:r>
        <w:rPr>
          <w:rFonts w:hint="eastAsia" w:eastAsia="仿宋_GB2312" w:cs="Times New Roman"/>
          <w:color w:val="0C0C0C"/>
          <w:spacing w:val="-6"/>
          <w:kern w:val="2"/>
          <w:sz w:val="32"/>
          <w:szCs w:val="32"/>
          <w:u w:val="none"/>
          <w:lang w:val="en-US" w:eastAsia="zh-CN" w:bidi="ar-SA"/>
        </w:rPr>
        <w:t>4</w:t>
      </w:r>
      <w:r>
        <w:rPr>
          <w:rFonts w:hint="default" w:ascii="Times New Roman" w:hAnsi="Times New Roman" w:eastAsia="仿宋_GB2312" w:cs="Times New Roman"/>
          <w:color w:val="0C0C0C"/>
          <w:spacing w:val="-6"/>
          <w:kern w:val="2"/>
          <w:sz w:val="32"/>
          <w:szCs w:val="32"/>
          <w:u w:val="none"/>
          <w:lang w:val="en" w:eastAsia="zh-CN" w:bidi="ar-SA"/>
        </w:rPr>
        <w:t>-4）</w:t>
      </w:r>
      <w:r>
        <w:rPr>
          <w:rFonts w:hint="default" w:ascii="Times New Roman" w:hAnsi="Times New Roman" w:eastAsia="仿宋_GB2312" w:cs="Times New Roman"/>
          <w:color w:val="0C0C0C"/>
          <w:spacing w:val="-6"/>
          <w:kern w:val="2"/>
          <w:sz w:val="32"/>
          <w:szCs w:val="32"/>
          <w:u w:val="none"/>
          <w:lang w:val="en-US" w:eastAsia="zh-CN" w:bidi="ar-SA"/>
        </w:rPr>
        <w:t>。</w:t>
      </w:r>
    </w:p>
    <w:p w14:paraId="4B4532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176" w:afterLines="30" w:afterAutospacing="0" w:line="600" w:lineRule="exact"/>
        <w:ind w:left="0" w:right="0" w:firstLine="0" w:firstLineChars="0"/>
        <w:jc w:val="center"/>
        <w:textAlignment w:val="auto"/>
        <w:rPr>
          <w:rFonts w:hint="default" w:ascii="Times New Roman" w:hAnsi="Times New Roman" w:eastAsia="宋体" w:cs="Times New Roman"/>
          <w:b/>
          <w:i w:val="0"/>
          <w:caps w:val="0"/>
          <w:color w:val="0C0C0C"/>
          <w:spacing w:val="-6"/>
          <w:kern w:val="0"/>
          <w:sz w:val="24"/>
          <w:szCs w:val="24"/>
          <w:highlight w:val="none"/>
          <w:lang w:val="en-US" w:eastAsia="zh-CN" w:bidi="ar"/>
        </w:rPr>
      </w:pPr>
      <w:r>
        <w:rPr>
          <w:rFonts w:hint="default" w:ascii="Times New Roman" w:hAnsi="Times New Roman" w:eastAsia="宋体" w:cs="Times New Roman"/>
          <w:b/>
          <w:i w:val="0"/>
          <w:caps w:val="0"/>
          <w:color w:val="0C0C0C"/>
          <w:spacing w:val="-6"/>
          <w:kern w:val="0"/>
          <w:sz w:val="24"/>
          <w:szCs w:val="24"/>
          <w:highlight w:val="none"/>
          <w:lang w:val="en-US" w:eastAsia="zh-CN" w:bidi="ar"/>
        </w:rPr>
        <w:t>表</w:t>
      </w:r>
      <w:r>
        <w:rPr>
          <w:rFonts w:hint="eastAsia" w:eastAsia="宋体" w:cs="Times New Roman"/>
          <w:b/>
          <w:i w:val="0"/>
          <w:caps w:val="0"/>
          <w:color w:val="0C0C0C"/>
          <w:spacing w:val="-6"/>
          <w:kern w:val="0"/>
          <w:sz w:val="24"/>
          <w:szCs w:val="24"/>
          <w:highlight w:val="none"/>
          <w:lang w:val="en-US" w:eastAsia="zh-CN" w:bidi="ar"/>
        </w:rPr>
        <w:t>4</w:t>
      </w:r>
      <w:r>
        <w:rPr>
          <w:rFonts w:hint="default" w:ascii="Times New Roman" w:hAnsi="Times New Roman" w:eastAsia="宋体" w:cs="Times New Roman"/>
          <w:b/>
          <w:i w:val="0"/>
          <w:caps w:val="0"/>
          <w:color w:val="0C0C0C"/>
          <w:spacing w:val="-6"/>
          <w:kern w:val="0"/>
          <w:sz w:val="24"/>
          <w:szCs w:val="24"/>
          <w:highlight w:val="none"/>
          <w:lang w:val="en-US" w:eastAsia="zh-CN" w:bidi="ar"/>
        </w:rPr>
        <w:t>-4　按行业大类分组的居民服务、修理和其他服务业企业法人单位数和从业人员</w:t>
      </w:r>
    </w:p>
    <w:tbl>
      <w:tblPr>
        <w:tblStyle w:val="18"/>
        <w:tblW w:w="4997"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412"/>
        <w:gridCol w:w="2214"/>
        <w:gridCol w:w="2214"/>
      </w:tblGrid>
      <w:tr w14:paraId="5DE2075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495" w:type="pct"/>
            <w:tcBorders>
              <w:top w:val="single" w:color="auto" w:sz="12" w:space="0"/>
              <w:left w:val="nil"/>
              <w:bottom w:val="single" w:color="auto" w:sz="4" w:space="0"/>
              <w:right w:val="single" w:color="auto" w:sz="4" w:space="0"/>
            </w:tcBorders>
            <w:noWrap w:val="0"/>
            <w:vAlign w:val="center"/>
          </w:tcPr>
          <w:p w14:paraId="1C261D0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color w:val="0C0C0C"/>
                <w:sz w:val="21"/>
                <w:szCs w:val="21"/>
                <w:highlight w:val="none"/>
              </w:rPr>
            </w:pPr>
          </w:p>
        </w:tc>
        <w:tc>
          <w:tcPr>
            <w:tcW w:w="1252" w:type="pct"/>
            <w:tcBorders>
              <w:top w:val="single" w:color="auto" w:sz="12" w:space="0"/>
              <w:left w:val="single" w:color="auto" w:sz="4" w:space="0"/>
              <w:bottom w:val="single" w:color="auto" w:sz="4" w:space="0"/>
              <w:right w:val="single" w:color="auto" w:sz="4" w:space="0"/>
            </w:tcBorders>
            <w:noWrap w:val="0"/>
            <w:vAlign w:val="center"/>
          </w:tcPr>
          <w:p w14:paraId="68E136B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kern w:val="0"/>
                <w:sz w:val="21"/>
                <w:szCs w:val="21"/>
                <w:highlight w:val="none"/>
                <w:lang w:val="en-US" w:eastAsia="zh-CN" w:bidi="ar"/>
              </w:rPr>
            </w:pPr>
            <w:r>
              <w:rPr>
                <w:rFonts w:hint="default" w:ascii="Times New Roman" w:hAnsi="Times New Roman" w:eastAsia="宋体" w:cs="Times New Roman"/>
                <w:b/>
                <w:bCs/>
                <w:color w:val="0C0C0C"/>
                <w:kern w:val="0"/>
                <w:sz w:val="21"/>
                <w:szCs w:val="21"/>
                <w:highlight w:val="none"/>
                <w:lang w:val="en-US" w:eastAsia="zh-CN" w:bidi="ar"/>
              </w:rPr>
              <w:t>企业法人单位</w:t>
            </w:r>
          </w:p>
          <w:p w14:paraId="76F35C9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（个）</w:t>
            </w:r>
          </w:p>
        </w:tc>
        <w:tc>
          <w:tcPr>
            <w:tcW w:w="1252" w:type="pct"/>
            <w:tcBorders>
              <w:top w:val="single" w:color="auto" w:sz="12" w:space="0"/>
              <w:left w:val="single" w:color="auto" w:sz="4" w:space="0"/>
              <w:bottom w:val="single" w:color="auto" w:sz="4" w:space="0"/>
              <w:right w:val="nil"/>
            </w:tcBorders>
            <w:noWrap w:val="0"/>
            <w:vAlign w:val="center"/>
          </w:tcPr>
          <w:p w14:paraId="26922AA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kern w:val="0"/>
                <w:sz w:val="21"/>
                <w:szCs w:val="21"/>
                <w:highlight w:val="none"/>
                <w:lang w:val="en-US" w:eastAsia="zh-CN" w:bidi="ar"/>
              </w:rPr>
            </w:pPr>
            <w:r>
              <w:rPr>
                <w:rFonts w:hint="default" w:ascii="Times New Roman" w:hAnsi="Times New Roman" w:eastAsia="宋体" w:cs="Times New Roman"/>
                <w:b/>
                <w:bCs/>
                <w:color w:val="0C0C0C"/>
                <w:kern w:val="0"/>
                <w:sz w:val="21"/>
                <w:szCs w:val="21"/>
                <w:highlight w:val="none"/>
                <w:lang w:val="en-US" w:eastAsia="zh-CN" w:bidi="ar"/>
              </w:rPr>
              <w:t>从业人员</w:t>
            </w:r>
          </w:p>
          <w:p w14:paraId="2B42450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（人）</w:t>
            </w:r>
          </w:p>
        </w:tc>
      </w:tr>
      <w:tr w14:paraId="7E8B3D0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5" w:type="pct"/>
            <w:tcBorders>
              <w:top w:val="single" w:color="auto" w:sz="4" w:space="0"/>
              <w:left w:val="nil"/>
              <w:bottom w:val="nil"/>
              <w:right w:val="single" w:color="auto" w:sz="4" w:space="0"/>
            </w:tcBorders>
            <w:noWrap w:val="0"/>
            <w:vAlign w:val="center"/>
          </w:tcPr>
          <w:p w14:paraId="13A5147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center"/>
              <w:textAlignment w:val="auto"/>
              <w:rPr>
                <w:rFonts w:hint="default" w:ascii="Times New Roman" w:hAnsi="Times New Roman" w:eastAsia="宋体" w:cs="Times New Roman"/>
                <w:b/>
                <w:bCs w:val="0"/>
                <w:color w:val="0C0C0C"/>
                <w:kern w:val="0"/>
                <w:sz w:val="21"/>
                <w:szCs w:val="21"/>
                <w:highlight w:val="none"/>
                <w:lang w:bidi="ar"/>
              </w:rPr>
            </w:pPr>
            <w:r>
              <w:rPr>
                <w:rFonts w:hint="default" w:ascii="Times New Roman" w:hAnsi="Times New Roman" w:eastAsia="宋体" w:cs="Times New Roman"/>
                <w:b/>
                <w:bCs w:val="0"/>
                <w:color w:val="0C0C0C"/>
                <w:kern w:val="0"/>
                <w:sz w:val="21"/>
                <w:szCs w:val="21"/>
                <w:highlight w:val="none"/>
                <w:lang w:val="en-US" w:eastAsia="zh-CN" w:bidi="ar"/>
              </w:rPr>
              <w:t>合　计</w:t>
            </w:r>
          </w:p>
        </w:tc>
        <w:tc>
          <w:tcPr>
            <w:tcW w:w="1252" w:type="pct"/>
            <w:tcBorders>
              <w:top w:val="single" w:color="auto" w:sz="4" w:space="0"/>
              <w:left w:val="single" w:color="auto" w:sz="4" w:space="0"/>
              <w:bottom w:val="nil"/>
              <w:right w:val="single" w:color="auto" w:sz="4" w:space="0"/>
            </w:tcBorders>
            <w:noWrap w:val="0"/>
            <w:vAlign w:val="center"/>
          </w:tcPr>
          <w:p w14:paraId="1B17ACA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US" w:eastAsia="zh-CN" w:bidi="ar"/>
              </w:rPr>
            </w:pPr>
            <w:r>
              <w:rPr>
                <w:rFonts w:hint="default" w:ascii="Times New Roman" w:hAnsi="Times New Roman" w:eastAsia="宋体" w:cs="Times New Roman"/>
                <w:b/>
                <w:bCs w:val="0"/>
                <w:i w:val="0"/>
                <w:iCs w:val="0"/>
                <w:color w:val="0C0C0C"/>
                <w:kern w:val="0"/>
                <w:sz w:val="21"/>
                <w:szCs w:val="21"/>
                <w:highlight w:val="none"/>
                <w:u w:val="none"/>
                <w:lang w:val="en-US" w:eastAsia="zh-CN" w:bidi="ar"/>
              </w:rPr>
              <w:t xml:space="preserve">752 </w:t>
            </w:r>
          </w:p>
        </w:tc>
        <w:tc>
          <w:tcPr>
            <w:tcW w:w="1252" w:type="pct"/>
            <w:tcBorders>
              <w:top w:val="single" w:color="auto" w:sz="4" w:space="0"/>
              <w:left w:val="single" w:color="auto" w:sz="4" w:space="0"/>
              <w:bottom w:val="nil"/>
              <w:right w:val="nil"/>
            </w:tcBorders>
            <w:noWrap w:val="0"/>
            <w:vAlign w:val="center"/>
          </w:tcPr>
          <w:p w14:paraId="23745C8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US" w:eastAsia="zh-CN" w:bidi="ar"/>
              </w:rPr>
            </w:pPr>
            <w:r>
              <w:rPr>
                <w:rFonts w:hint="default" w:ascii="Times New Roman" w:hAnsi="Times New Roman" w:eastAsia="宋体" w:cs="Times New Roman"/>
                <w:b/>
                <w:bCs w:val="0"/>
                <w:i w:val="0"/>
                <w:iCs w:val="0"/>
                <w:color w:val="0C0C0C"/>
                <w:kern w:val="0"/>
                <w:sz w:val="21"/>
                <w:szCs w:val="21"/>
                <w:highlight w:val="none"/>
                <w:u w:val="none"/>
                <w:lang w:val="en-US" w:eastAsia="zh-CN" w:bidi="ar"/>
              </w:rPr>
              <w:t xml:space="preserve">5706 </w:t>
            </w:r>
          </w:p>
        </w:tc>
      </w:tr>
      <w:tr w14:paraId="05690DB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5" w:type="pct"/>
            <w:tcBorders>
              <w:top w:val="nil"/>
              <w:left w:val="nil"/>
              <w:bottom w:val="nil"/>
              <w:right w:val="single" w:color="auto" w:sz="4" w:space="0"/>
            </w:tcBorders>
            <w:noWrap w:val="0"/>
            <w:vAlign w:val="center"/>
          </w:tcPr>
          <w:p w14:paraId="7F218B2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bidi="ar"/>
              </w:rPr>
            </w:pPr>
            <w:r>
              <w:rPr>
                <w:rFonts w:hint="default" w:ascii="Times New Roman" w:hAnsi="Times New Roman" w:eastAsia="宋体" w:cs="Times New Roman"/>
                <w:bCs/>
                <w:color w:val="0C0C0C"/>
                <w:kern w:val="0"/>
                <w:sz w:val="21"/>
                <w:szCs w:val="21"/>
                <w:highlight w:val="none"/>
                <w:lang w:val="en-US" w:eastAsia="zh-CN" w:bidi="ar"/>
              </w:rPr>
              <w:t>居民服务业</w:t>
            </w:r>
          </w:p>
        </w:tc>
        <w:tc>
          <w:tcPr>
            <w:tcW w:w="1252" w:type="pct"/>
            <w:tcBorders>
              <w:top w:val="nil"/>
              <w:left w:val="single" w:color="auto" w:sz="4" w:space="0"/>
              <w:bottom w:val="nil"/>
              <w:right w:val="single" w:color="auto" w:sz="4" w:space="0"/>
            </w:tcBorders>
            <w:noWrap w:val="0"/>
            <w:vAlign w:val="center"/>
          </w:tcPr>
          <w:p w14:paraId="52D9569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266 </w:t>
            </w:r>
          </w:p>
        </w:tc>
        <w:tc>
          <w:tcPr>
            <w:tcW w:w="1252" w:type="pct"/>
            <w:tcBorders>
              <w:top w:val="nil"/>
              <w:left w:val="single" w:color="auto" w:sz="4" w:space="0"/>
              <w:bottom w:val="nil"/>
              <w:right w:val="nil"/>
            </w:tcBorders>
            <w:noWrap w:val="0"/>
            <w:vAlign w:val="center"/>
          </w:tcPr>
          <w:p w14:paraId="7BB658E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1874 </w:t>
            </w:r>
          </w:p>
        </w:tc>
      </w:tr>
      <w:tr w14:paraId="737D8CF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5" w:type="pct"/>
            <w:tcBorders>
              <w:top w:val="nil"/>
              <w:left w:val="nil"/>
              <w:bottom w:val="nil"/>
              <w:right w:val="single" w:color="auto" w:sz="4" w:space="0"/>
            </w:tcBorders>
            <w:noWrap w:val="0"/>
            <w:vAlign w:val="center"/>
          </w:tcPr>
          <w:p w14:paraId="01C333E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bidi="ar"/>
              </w:rPr>
            </w:pPr>
            <w:r>
              <w:rPr>
                <w:rFonts w:hint="default" w:ascii="Times New Roman" w:hAnsi="Times New Roman" w:eastAsia="宋体" w:cs="Times New Roman"/>
                <w:bCs/>
                <w:color w:val="0C0C0C"/>
                <w:kern w:val="0"/>
                <w:sz w:val="21"/>
                <w:szCs w:val="21"/>
                <w:highlight w:val="none"/>
                <w:lang w:val="en-US" w:eastAsia="zh-CN" w:bidi="ar"/>
              </w:rPr>
              <w:t>机动车、电子产品和日用产品修理业</w:t>
            </w:r>
          </w:p>
        </w:tc>
        <w:tc>
          <w:tcPr>
            <w:tcW w:w="1252" w:type="pct"/>
            <w:tcBorders>
              <w:top w:val="nil"/>
              <w:left w:val="single" w:color="auto" w:sz="4" w:space="0"/>
              <w:bottom w:val="nil"/>
              <w:right w:val="single" w:color="auto" w:sz="4" w:space="0"/>
            </w:tcBorders>
            <w:noWrap w:val="0"/>
            <w:vAlign w:val="center"/>
          </w:tcPr>
          <w:p w14:paraId="59F67EA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351 </w:t>
            </w:r>
          </w:p>
        </w:tc>
        <w:tc>
          <w:tcPr>
            <w:tcW w:w="1252" w:type="pct"/>
            <w:tcBorders>
              <w:top w:val="nil"/>
              <w:left w:val="single" w:color="auto" w:sz="4" w:space="0"/>
              <w:bottom w:val="nil"/>
              <w:right w:val="nil"/>
            </w:tcBorders>
            <w:noWrap w:val="0"/>
            <w:vAlign w:val="center"/>
          </w:tcPr>
          <w:p w14:paraId="53888F7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2592 </w:t>
            </w:r>
          </w:p>
        </w:tc>
      </w:tr>
      <w:tr w14:paraId="195D0CB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5" w:type="pct"/>
            <w:tcBorders>
              <w:top w:val="nil"/>
              <w:left w:val="nil"/>
              <w:bottom w:val="single" w:color="auto" w:sz="12" w:space="0"/>
              <w:right w:val="single" w:color="auto" w:sz="4" w:space="0"/>
            </w:tcBorders>
            <w:noWrap w:val="0"/>
            <w:vAlign w:val="center"/>
          </w:tcPr>
          <w:p w14:paraId="3244B2D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bidi="ar"/>
              </w:rPr>
            </w:pPr>
            <w:r>
              <w:rPr>
                <w:rFonts w:hint="default" w:ascii="Times New Roman" w:hAnsi="Times New Roman" w:eastAsia="宋体" w:cs="Times New Roman"/>
                <w:bCs/>
                <w:color w:val="0C0C0C"/>
                <w:kern w:val="0"/>
                <w:sz w:val="21"/>
                <w:szCs w:val="21"/>
                <w:highlight w:val="none"/>
                <w:lang w:val="en-US" w:eastAsia="zh-CN" w:bidi="ar"/>
              </w:rPr>
              <w:t>其他服务业</w:t>
            </w:r>
          </w:p>
        </w:tc>
        <w:tc>
          <w:tcPr>
            <w:tcW w:w="1252" w:type="pct"/>
            <w:tcBorders>
              <w:top w:val="nil"/>
              <w:left w:val="single" w:color="auto" w:sz="4" w:space="0"/>
              <w:bottom w:val="single" w:color="auto" w:sz="12" w:space="0"/>
              <w:right w:val="single" w:color="auto" w:sz="4" w:space="0"/>
            </w:tcBorders>
            <w:noWrap w:val="0"/>
            <w:vAlign w:val="center"/>
          </w:tcPr>
          <w:p w14:paraId="3D0097E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135 </w:t>
            </w:r>
          </w:p>
        </w:tc>
        <w:tc>
          <w:tcPr>
            <w:tcW w:w="1252" w:type="pct"/>
            <w:tcBorders>
              <w:top w:val="nil"/>
              <w:left w:val="single" w:color="auto" w:sz="4" w:space="0"/>
              <w:bottom w:val="single" w:color="auto" w:sz="12" w:space="0"/>
              <w:right w:val="nil"/>
            </w:tcBorders>
            <w:noWrap w:val="0"/>
            <w:vAlign w:val="center"/>
          </w:tcPr>
          <w:p w14:paraId="17A4002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 xml:space="preserve">1240 </w:t>
            </w:r>
          </w:p>
        </w:tc>
      </w:tr>
    </w:tbl>
    <w:p w14:paraId="72FE62D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firstLine="583" w:firstLineChars="0"/>
        <w:jc w:val="both"/>
        <w:textAlignment w:val="auto"/>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在居民服务、修理和其他服务业企业法人单位中，内资企业占</w:t>
      </w:r>
      <w:r>
        <w:rPr>
          <w:rFonts w:hint="default" w:ascii="Times New Roman" w:hAnsi="Times New Roman" w:eastAsia="仿宋_GB2312" w:cs="Times New Roman"/>
          <w:color w:val="0C0C0C"/>
          <w:sz w:val="32"/>
          <w:szCs w:val="32"/>
          <w:u w:val="none"/>
          <w:lang w:val="en-US" w:eastAsia="zh-CN"/>
        </w:rPr>
        <w:t>99.7</w:t>
      </w:r>
      <w:r>
        <w:rPr>
          <w:rFonts w:hint="default" w:ascii="Times New Roman" w:hAnsi="Times New Roman" w:eastAsia="仿宋_GB2312" w:cs="Times New Roman"/>
          <w:color w:val="0C0C0C"/>
          <w:spacing w:val="-6"/>
          <w:kern w:val="2"/>
          <w:sz w:val="32"/>
          <w:szCs w:val="32"/>
          <w:u w:val="none"/>
          <w:lang w:val="en-US" w:eastAsia="zh-CN" w:bidi="ar-SA"/>
        </w:rPr>
        <w:t>%，港澳台、外商和其他投资企业占</w:t>
      </w:r>
      <w:r>
        <w:rPr>
          <w:rFonts w:hint="default" w:ascii="Times New Roman" w:hAnsi="Times New Roman" w:eastAsia="仿宋_GB2312" w:cs="Times New Roman"/>
          <w:color w:val="0C0C0C"/>
          <w:sz w:val="32"/>
          <w:szCs w:val="32"/>
          <w:u w:val="none"/>
          <w:lang w:val="en-US" w:eastAsia="zh-CN"/>
        </w:rPr>
        <w:t>0.3</w:t>
      </w:r>
      <w:r>
        <w:rPr>
          <w:rFonts w:hint="default" w:ascii="Times New Roman" w:hAnsi="Times New Roman" w:eastAsia="仿宋_GB2312" w:cs="Times New Roman"/>
          <w:color w:val="0C0C0C"/>
          <w:spacing w:val="-6"/>
          <w:kern w:val="2"/>
          <w:sz w:val="32"/>
          <w:szCs w:val="32"/>
          <w:u w:val="none"/>
          <w:lang w:val="en-US" w:eastAsia="zh-CN" w:bidi="ar-SA"/>
        </w:rPr>
        <w:t>%。</w:t>
      </w:r>
    </w:p>
    <w:p w14:paraId="7E2B732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firstLine="583"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在居民服务、修理和其他服务业企业法人单位从业人员中，内资企业占</w:t>
      </w:r>
      <w:r>
        <w:rPr>
          <w:rFonts w:hint="default" w:ascii="Times New Roman" w:hAnsi="Times New Roman" w:eastAsia="仿宋_GB2312" w:cs="Times New Roman"/>
          <w:color w:val="0C0C0C"/>
          <w:sz w:val="32"/>
          <w:szCs w:val="32"/>
          <w:u w:val="none"/>
          <w:lang w:val="en-US" w:eastAsia="zh-CN"/>
        </w:rPr>
        <w:t>100</w:t>
      </w:r>
      <w:r>
        <w:rPr>
          <w:rFonts w:hint="default" w:ascii="Times New Roman" w:hAnsi="Times New Roman" w:eastAsia="仿宋_GB2312" w:cs="Times New Roman"/>
          <w:color w:val="0C0C0C"/>
          <w:spacing w:val="-6"/>
          <w:kern w:val="2"/>
          <w:sz w:val="32"/>
          <w:szCs w:val="32"/>
          <w:u w:val="none"/>
          <w:lang w:val="en-US" w:eastAsia="zh-CN" w:bidi="ar-SA"/>
        </w:rPr>
        <w:t>%（详见表</w:t>
      </w:r>
      <w:r>
        <w:rPr>
          <w:rFonts w:hint="eastAsia" w:eastAsia="仿宋_GB2312" w:cs="Times New Roman"/>
          <w:color w:val="0C0C0C"/>
          <w:spacing w:val="-6"/>
          <w:kern w:val="2"/>
          <w:sz w:val="32"/>
          <w:szCs w:val="32"/>
          <w:u w:val="none"/>
          <w:lang w:val="en-US" w:eastAsia="zh-CN" w:bidi="ar-SA"/>
        </w:rPr>
        <w:t>4</w:t>
      </w:r>
      <w:r>
        <w:rPr>
          <w:rFonts w:hint="default" w:ascii="Times New Roman" w:hAnsi="Times New Roman" w:eastAsia="仿宋_GB2312" w:cs="Times New Roman"/>
          <w:color w:val="0C0C0C"/>
          <w:spacing w:val="-6"/>
          <w:kern w:val="2"/>
          <w:sz w:val="32"/>
          <w:szCs w:val="32"/>
          <w:u w:val="none"/>
          <w:lang w:val="en-US" w:eastAsia="zh-CN" w:bidi="ar-SA"/>
        </w:rPr>
        <w:t>-5）。</w:t>
      </w:r>
    </w:p>
    <w:p w14:paraId="519435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176" w:afterLines="30" w:afterAutospacing="0" w:line="600" w:lineRule="exact"/>
        <w:ind w:left="0" w:right="0" w:firstLine="0" w:firstLineChars="0"/>
        <w:jc w:val="center"/>
        <w:textAlignment w:val="auto"/>
        <w:rPr>
          <w:rFonts w:hint="default" w:ascii="Times New Roman" w:hAnsi="Times New Roman" w:eastAsia="宋体" w:cs="Times New Roman"/>
          <w:b/>
          <w:i w:val="0"/>
          <w:caps w:val="0"/>
          <w:color w:val="0C0C0C"/>
          <w:spacing w:val="-11"/>
          <w:kern w:val="0"/>
          <w:sz w:val="24"/>
          <w:szCs w:val="24"/>
          <w:highlight w:val="none"/>
          <w:lang w:val="en-US" w:eastAsia="zh-CN" w:bidi="ar"/>
        </w:rPr>
      </w:pPr>
      <w:r>
        <w:rPr>
          <w:rFonts w:hint="default" w:ascii="Times New Roman" w:hAnsi="Times New Roman" w:eastAsia="宋体" w:cs="Times New Roman"/>
          <w:b/>
          <w:i w:val="0"/>
          <w:caps w:val="0"/>
          <w:color w:val="0C0C0C"/>
          <w:spacing w:val="-11"/>
          <w:kern w:val="0"/>
          <w:sz w:val="24"/>
          <w:szCs w:val="24"/>
          <w:highlight w:val="none"/>
          <w:lang w:val="en-US" w:eastAsia="zh-CN" w:bidi="ar"/>
        </w:rPr>
        <w:t>表</w:t>
      </w:r>
      <w:r>
        <w:rPr>
          <w:rFonts w:hint="eastAsia" w:eastAsia="宋体" w:cs="Times New Roman"/>
          <w:b/>
          <w:i w:val="0"/>
          <w:caps w:val="0"/>
          <w:color w:val="0C0C0C"/>
          <w:spacing w:val="-11"/>
          <w:kern w:val="0"/>
          <w:sz w:val="24"/>
          <w:szCs w:val="24"/>
          <w:highlight w:val="none"/>
          <w:lang w:val="en-US" w:eastAsia="zh-CN" w:bidi="ar"/>
        </w:rPr>
        <w:t>4</w:t>
      </w:r>
      <w:r>
        <w:rPr>
          <w:rFonts w:hint="default" w:ascii="Times New Roman" w:hAnsi="Times New Roman" w:eastAsia="宋体" w:cs="Times New Roman"/>
          <w:b/>
          <w:i w:val="0"/>
          <w:caps w:val="0"/>
          <w:color w:val="0C0C0C"/>
          <w:spacing w:val="-11"/>
          <w:kern w:val="0"/>
          <w:sz w:val="24"/>
          <w:szCs w:val="24"/>
          <w:highlight w:val="none"/>
          <w:lang w:val="en-US" w:eastAsia="zh-CN" w:bidi="ar"/>
        </w:rPr>
        <w:t>-5　按登记注册统计类别分组的居民服务、修理和其他服务业企业法人单位数和从业人员</w:t>
      </w:r>
    </w:p>
    <w:tbl>
      <w:tblPr>
        <w:tblStyle w:val="18"/>
        <w:tblW w:w="4997"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44"/>
        <w:gridCol w:w="2147"/>
        <w:gridCol w:w="2149"/>
      </w:tblGrid>
      <w:tr w14:paraId="460E540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570" w:type="pct"/>
            <w:tcBorders>
              <w:top w:val="single" w:color="auto" w:sz="12" w:space="0"/>
              <w:left w:val="nil"/>
              <w:bottom w:val="single" w:color="auto" w:sz="4" w:space="0"/>
              <w:right w:val="single" w:color="auto" w:sz="4" w:space="0"/>
            </w:tcBorders>
            <w:noWrap w:val="0"/>
            <w:vAlign w:val="center"/>
          </w:tcPr>
          <w:p w14:paraId="705CE1A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color w:val="0C0C0C"/>
                <w:sz w:val="21"/>
                <w:szCs w:val="21"/>
                <w:highlight w:val="none"/>
              </w:rPr>
            </w:pPr>
          </w:p>
        </w:tc>
        <w:tc>
          <w:tcPr>
            <w:tcW w:w="1214" w:type="pct"/>
            <w:tcBorders>
              <w:top w:val="single" w:color="auto" w:sz="12" w:space="0"/>
              <w:left w:val="single" w:color="auto" w:sz="4" w:space="0"/>
              <w:bottom w:val="single" w:color="auto" w:sz="4" w:space="0"/>
              <w:right w:val="single" w:color="auto" w:sz="4" w:space="0"/>
            </w:tcBorders>
            <w:noWrap w:val="0"/>
            <w:vAlign w:val="center"/>
          </w:tcPr>
          <w:p w14:paraId="1FDCBA1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kern w:val="0"/>
                <w:sz w:val="21"/>
                <w:szCs w:val="21"/>
                <w:highlight w:val="none"/>
                <w:lang w:val="en-US" w:eastAsia="zh-CN" w:bidi="ar"/>
              </w:rPr>
            </w:pPr>
            <w:r>
              <w:rPr>
                <w:rFonts w:hint="default" w:ascii="Times New Roman" w:hAnsi="Times New Roman" w:eastAsia="宋体" w:cs="Times New Roman"/>
                <w:b/>
                <w:bCs/>
                <w:color w:val="0C0C0C"/>
                <w:kern w:val="0"/>
                <w:sz w:val="21"/>
                <w:szCs w:val="21"/>
                <w:highlight w:val="none"/>
                <w:lang w:val="en-US" w:eastAsia="zh-CN" w:bidi="ar"/>
              </w:rPr>
              <w:t>企业法人单位</w:t>
            </w:r>
          </w:p>
          <w:p w14:paraId="34C33A2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（个）</w:t>
            </w:r>
          </w:p>
        </w:tc>
        <w:tc>
          <w:tcPr>
            <w:tcW w:w="1215" w:type="pct"/>
            <w:tcBorders>
              <w:top w:val="single" w:color="auto" w:sz="12" w:space="0"/>
              <w:left w:val="single" w:color="auto" w:sz="4" w:space="0"/>
              <w:bottom w:val="single" w:color="auto" w:sz="4" w:space="0"/>
              <w:right w:val="nil"/>
            </w:tcBorders>
            <w:noWrap w:val="0"/>
            <w:vAlign w:val="center"/>
          </w:tcPr>
          <w:p w14:paraId="4132CC8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kern w:val="0"/>
                <w:sz w:val="21"/>
                <w:szCs w:val="21"/>
                <w:highlight w:val="none"/>
                <w:lang w:val="en-US" w:eastAsia="zh-CN" w:bidi="ar"/>
              </w:rPr>
            </w:pPr>
            <w:r>
              <w:rPr>
                <w:rFonts w:hint="default" w:ascii="Times New Roman" w:hAnsi="Times New Roman" w:eastAsia="宋体" w:cs="Times New Roman"/>
                <w:b/>
                <w:bCs/>
                <w:color w:val="0C0C0C"/>
                <w:kern w:val="0"/>
                <w:sz w:val="21"/>
                <w:szCs w:val="21"/>
                <w:highlight w:val="none"/>
                <w:lang w:val="en-US" w:eastAsia="zh-CN" w:bidi="ar"/>
              </w:rPr>
              <w:t>从业人员</w:t>
            </w:r>
          </w:p>
          <w:p w14:paraId="25A468D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（人）</w:t>
            </w:r>
          </w:p>
        </w:tc>
      </w:tr>
      <w:tr w14:paraId="5F353D0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570" w:type="pct"/>
            <w:tcBorders>
              <w:top w:val="single" w:color="auto" w:sz="4" w:space="0"/>
              <w:left w:val="nil"/>
              <w:bottom w:val="nil"/>
              <w:right w:val="single" w:color="auto" w:sz="4" w:space="0"/>
            </w:tcBorders>
            <w:noWrap w:val="0"/>
            <w:vAlign w:val="center"/>
          </w:tcPr>
          <w:p w14:paraId="220388B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center"/>
              <w:textAlignment w:val="auto"/>
              <w:rPr>
                <w:rFonts w:hint="default" w:ascii="Times New Roman" w:hAnsi="Times New Roman" w:eastAsia="宋体" w:cs="Times New Roman"/>
                <w:b/>
                <w:bCs w:val="0"/>
                <w:color w:val="0C0C0C"/>
                <w:kern w:val="0"/>
                <w:sz w:val="21"/>
                <w:szCs w:val="21"/>
                <w:highlight w:val="none"/>
                <w:lang w:bidi="ar"/>
              </w:rPr>
            </w:pPr>
            <w:r>
              <w:rPr>
                <w:rFonts w:hint="default" w:ascii="Times New Roman" w:hAnsi="Times New Roman" w:eastAsia="宋体" w:cs="Times New Roman"/>
                <w:b/>
                <w:bCs w:val="0"/>
                <w:color w:val="0C0C0C"/>
                <w:kern w:val="0"/>
                <w:sz w:val="21"/>
                <w:szCs w:val="21"/>
                <w:highlight w:val="none"/>
                <w:lang w:val="en-US" w:eastAsia="zh-CN" w:bidi="ar"/>
              </w:rPr>
              <w:t>合　计</w:t>
            </w:r>
          </w:p>
        </w:tc>
        <w:tc>
          <w:tcPr>
            <w:tcW w:w="1214" w:type="pct"/>
            <w:tcBorders>
              <w:top w:val="single" w:color="auto" w:sz="4" w:space="0"/>
              <w:left w:val="single" w:color="auto" w:sz="4" w:space="0"/>
              <w:bottom w:val="nil"/>
              <w:right w:val="single" w:color="auto" w:sz="4" w:space="0"/>
            </w:tcBorders>
            <w:noWrap w:val="0"/>
            <w:vAlign w:val="center"/>
          </w:tcPr>
          <w:p w14:paraId="6C006C0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US" w:eastAsia="zh-CN" w:bidi="ar"/>
              </w:rPr>
            </w:pPr>
            <w:r>
              <w:rPr>
                <w:rFonts w:hint="default" w:ascii="Times New Roman" w:hAnsi="Times New Roman" w:eastAsia="宋体" w:cs="Times New Roman"/>
                <w:b/>
                <w:bCs w:val="0"/>
                <w:i w:val="0"/>
                <w:iCs w:val="0"/>
                <w:color w:val="0C0C0C"/>
                <w:kern w:val="0"/>
                <w:sz w:val="21"/>
                <w:szCs w:val="21"/>
                <w:highlight w:val="none"/>
                <w:u w:val="none"/>
                <w:lang w:val="en-US" w:eastAsia="zh-CN" w:bidi="ar"/>
              </w:rPr>
              <w:t>752</w:t>
            </w:r>
          </w:p>
        </w:tc>
        <w:tc>
          <w:tcPr>
            <w:tcW w:w="1215" w:type="pct"/>
            <w:tcBorders>
              <w:top w:val="single" w:color="auto" w:sz="4" w:space="0"/>
              <w:left w:val="single" w:color="auto" w:sz="4" w:space="0"/>
              <w:bottom w:val="nil"/>
              <w:right w:val="nil"/>
            </w:tcBorders>
            <w:noWrap w:val="0"/>
            <w:vAlign w:val="center"/>
          </w:tcPr>
          <w:p w14:paraId="28A1EF4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US" w:eastAsia="zh-CN" w:bidi="ar"/>
              </w:rPr>
            </w:pPr>
            <w:r>
              <w:rPr>
                <w:rFonts w:hint="default" w:ascii="Times New Roman" w:hAnsi="Times New Roman" w:eastAsia="宋体" w:cs="Times New Roman"/>
                <w:b/>
                <w:bCs w:val="0"/>
                <w:i w:val="0"/>
                <w:iCs w:val="0"/>
                <w:color w:val="0C0C0C"/>
                <w:kern w:val="0"/>
                <w:sz w:val="21"/>
                <w:szCs w:val="21"/>
                <w:highlight w:val="none"/>
                <w:u w:val="none"/>
                <w:lang w:val="en-US" w:eastAsia="zh-CN" w:bidi="ar"/>
              </w:rPr>
              <w:t>5706</w:t>
            </w:r>
          </w:p>
        </w:tc>
      </w:tr>
      <w:tr w14:paraId="24AE517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570" w:type="pct"/>
            <w:tcBorders>
              <w:top w:val="nil"/>
              <w:left w:val="nil"/>
              <w:bottom w:val="nil"/>
              <w:right w:val="single" w:color="auto" w:sz="4" w:space="0"/>
            </w:tcBorders>
            <w:noWrap w:val="0"/>
            <w:vAlign w:val="center"/>
          </w:tcPr>
          <w:p w14:paraId="0EE9844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 w:val="0"/>
                <w:bCs/>
                <w:color w:val="0C0C0C"/>
                <w:kern w:val="0"/>
                <w:sz w:val="21"/>
                <w:szCs w:val="21"/>
                <w:highlight w:val="none"/>
                <w:lang w:bidi="ar"/>
              </w:rPr>
            </w:pPr>
            <w:r>
              <w:rPr>
                <w:rFonts w:hint="default" w:ascii="Times New Roman" w:hAnsi="Times New Roman" w:eastAsia="宋体" w:cs="Times New Roman"/>
                <w:b w:val="0"/>
                <w:bCs/>
                <w:color w:val="0C0C0C"/>
                <w:kern w:val="0"/>
                <w:sz w:val="21"/>
                <w:szCs w:val="21"/>
                <w:highlight w:val="none"/>
                <w:lang w:val="en-US" w:eastAsia="zh-CN" w:bidi="ar"/>
              </w:rPr>
              <w:t>内资企业</w:t>
            </w:r>
          </w:p>
        </w:tc>
        <w:tc>
          <w:tcPr>
            <w:tcW w:w="1214" w:type="pct"/>
            <w:tcBorders>
              <w:top w:val="nil"/>
              <w:left w:val="single" w:color="auto" w:sz="4" w:space="0"/>
              <w:bottom w:val="nil"/>
              <w:right w:val="single" w:color="auto" w:sz="4" w:space="0"/>
            </w:tcBorders>
            <w:noWrap w:val="0"/>
            <w:vAlign w:val="center"/>
          </w:tcPr>
          <w:p w14:paraId="61BB43D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val="0"/>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750</w:t>
            </w:r>
          </w:p>
        </w:tc>
        <w:tc>
          <w:tcPr>
            <w:tcW w:w="1215" w:type="pct"/>
            <w:tcBorders>
              <w:top w:val="nil"/>
              <w:left w:val="single" w:color="auto" w:sz="4" w:space="0"/>
              <w:bottom w:val="nil"/>
              <w:right w:val="nil"/>
            </w:tcBorders>
            <w:noWrap w:val="0"/>
            <w:vAlign w:val="center"/>
          </w:tcPr>
          <w:p w14:paraId="38D76B1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val="0"/>
                <w:bCs/>
                <w:color w:val="0C0C0C"/>
                <w:kern w:val="0"/>
                <w:sz w:val="21"/>
                <w:szCs w:val="21"/>
                <w:highlight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5706</w:t>
            </w:r>
          </w:p>
        </w:tc>
      </w:tr>
      <w:tr w14:paraId="7DCD226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570" w:type="pct"/>
            <w:tcBorders>
              <w:top w:val="nil"/>
              <w:left w:val="nil"/>
              <w:bottom w:val="single" w:color="auto" w:sz="12" w:space="0"/>
              <w:right w:val="single" w:color="auto" w:sz="4" w:space="0"/>
            </w:tcBorders>
            <w:noWrap w:val="0"/>
            <w:vAlign w:val="center"/>
          </w:tcPr>
          <w:p w14:paraId="73B093E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rightChars="0" w:firstLine="0" w:firstLineChars="0"/>
              <w:jc w:val="left"/>
              <w:textAlignment w:val="auto"/>
              <w:rPr>
                <w:rFonts w:hint="default" w:ascii="Times New Roman" w:hAnsi="Times New Roman" w:eastAsia="宋体" w:cs="Times New Roman"/>
                <w:b w:val="0"/>
                <w:bCs/>
                <w:color w:val="0C0C0C"/>
                <w:kern w:val="0"/>
                <w:sz w:val="21"/>
                <w:szCs w:val="21"/>
                <w:highlight w:val="none"/>
                <w:lang w:val="en-US" w:eastAsia="zh-CN" w:bidi="ar"/>
              </w:rPr>
            </w:pPr>
            <w:r>
              <w:rPr>
                <w:rFonts w:hint="eastAsia" w:eastAsia="宋体" w:cs="Times New Roman"/>
                <w:b w:val="0"/>
                <w:bCs/>
                <w:color w:val="0C0C0C"/>
                <w:kern w:val="0"/>
                <w:sz w:val="21"/>
                <w:szCs w:val="21"/>
                <w:highlight w:val="none"/>
                <w:lang w:val="en" w:eastAsia="zh-CN" w:bidi="ar"/>
              </w:rPr>
              <w:t>港澳台、外商和其他投资企业</w:t>
            </w:r>
          </w:p>
        </w:tc>
        <w:tc>
          <w:tcPr>
            <w:tcW w:w="1214" w:type="pct"/>
            <w:tcBorders>
              <w:top w:val="nil"/>
              <w:left w:val="single" w:color="auto" w:sz="4" w:space="0"/>
              <w:bottom w:val="single" w:color="auto" w:sz="12" w:space="0"/>
              <w:right w:val="single" w:color="auto" w:sz="4" w:space="0"/>
            </w:tcBorders>
            <w:noWrap w:val="0"/>
            <w:vAlign w:val="center"/>
          </w:tcPr>
          <w:p w14:paraId="7948981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val="0"/>
                <w:bCs/>
                <w:i w:val="0"/>
                <w:color w:val="0C0C0C"/>
                <w:kern w:val="0"/>
                <w:sz w:val="21"/>
                <w:szCs w:val="21"/>
                <w:highlight w:val="none"/>
                <w:u w:val="none"/>
                <w:lang w:val="en-US" w:eastAsia="zh-CN" w:bidi="ar"/>
              </w:rPr>
            </w:pPr>
            <w:r>
              <w:rPr>
                <w:rFonts w:hint="eastAsia" w:eastAsia="宋体" w:cs="Times New Roman"/>
                <w:bCs/>
                <w:i w:val="0"/>
                <w:iCs w:val="0"/>
                <w:color w:val="0C0C0C"/>
                <w:kern w:val="0"/>
                <w:sz w:val="21"/>
                <w:szCs w:val="21"/>
                <w:highlight w:val="none"/>
                <w:u w:val="none"/>
                <w:lang w:val="en-US" w:eastAsia="zh-CN" w:bidi="ar"/>
              </w:rPr>
              <w:t>2</w:t>
            </w:r>
          </w:p>
        </w:tc>
        <w:tc>
          <w:tcPr>
            <w:tcW w:w="1215" w:type="pct"/>
            <w:tcBorders>
              <w:top w:val="nil"/>
              <w:left w:val="single" w:color="auto" w:sz="4" w:space="0"/>
              <w:bottom w:val="single" w:color="auto" w:sz="12" w:space="0"/>
              <w:right w:val="nil"/>
            </w:tcBorders>
            <w:noWrap w:val="0"/>
            <w:vAlign w:val="center"/>
          </w:tcPr>
          <w:p w14:paraId="707A4A6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val="0"/>
                <w:bCs/>
                <w:i w:val="0"/>
                <w:color w:val="0C0C0C"/>
                <w:kern w:val="0"/>
                <w:sz w:val="21"/>
                <w:szCs w:val="21"/>
                <w:highlight w:val="none"/>
                <w:u w:val="none"/>
                <w:lang w:val="en-US" w:eastAsia="zh-CN" w:bidi="ar"/>
              </w:rPr>
            </w:pPr>
            <w:r>
              <w:rPr>
                <w:rFonts w:hint="default" w:ascii="Times New Roman" w:hAnsi="Times New Roman" w:eastAsia="宋体" w:cs="Times New Roman"/>
                <w:bCs/>
                <w:i w:val="0"/>
                <w:iCs w:val="0"/>
                <w:color w:val="0C0C0C"/>
                <w:kern w:val="0"/>
                <w:sz w:val="21"/>
                <w:szCs w:val="21"/>
                <w:highlight w:val="none"/>
                <w:u w:val="none"/>
                <w:lang w:val="en-US" w:eastAsia="zh-CN" w:bidi="ar"/>
              </w:rPr>
              <w:t>0</w:t>
            </w:r>
          </w:p>
        </w:tc>
      </w:tr>
    </w:tbl>
    <w:p w14:paraId="488A5AB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firstLine="0"/>
        <w:jc w:val="both"/>
        <w:textAlignment w:val="auto"/>
        <w:rPr>
          <w:rFonts w:hint="default" w:ascii="Times New Roman" w:hAnsi="Times New Roman" w:eastAsia="楷体_GB2312" w:cs="Times New Roman"/>
          <w:i w:val="0"/>
          <w:caps w:val="0"/>
          <w:color w:val="0C0C0C"/>
          <w:spacing w:val="0"/>
          <w:kern w:val="0"/>
          <w:sz w:val="32"/>
          <w:szCs w:val="32"/>
          <w:highlight w:val="none"/>
          <w:lang w:bidi="ar"/>
        </w:rPr>
      </w:pPr>
      <w:r>
        <w:rPr>
          <w:rFonts w:hint="default" w:ascii="Times New Roman" w:hAnsi="Times New Roman" w:eastAsia="楷体_GB2312" w:cs="Times New Roman"/>
          <w:i w:val="0"/>
          <w:caps w:val="0"/>
          <w:color w:val="0C0C0C"/>
          <w:spacing w:val="0"/>
          <w:kern w:val="0"/>
          <w:sz w:val="32"/>
          <w:szCs w:val="32"/>
          <w:highlight w:val="none"/>
          <w:lang w:val="en-US" w:eastAsia="zh-CN" w:bidi="ar"/>
        </w:rPr>
        <w:t>（二）主要经济指标</w:t>
      </w:r>
    </w:p>
    <w:p w14:paraId="2DDAD6FA">
      <w:pPr>
        <w:pStyle w:val="7"/>
        <w:keepNext w:val="0"/>
        <w:keepLines w:val="0"/>
        <w:pageBreakBefore w:val="0"/>
        <w:kinsoku/>
        <w:wordWrap/>
        <w:overflowPunct/>
        <w:topLinePunct w:val="0"/>
        <w:autoSpaceDE/>
        <w:autoSpaceDN/>
        <w:bidi w:val="0"/>
        <w:adjustRightInd/>
        <w:snapToGrid/>
        <w:spacing w:line="240" w:lineRule="auto"/>
        <w:ind w:left="0" w:leftChars="0" w:firstLine="608" w:firstLineChars="200"/>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2023年末，居民服务、修理和其他服务业企业法人单位资产总计</w:t>
      </w:r>
      <w:r>
        <w:rPr>
          <w:rFonts w:hint="default" w:ascii="Times New Roman" w:hAnsi="Times New Roman" w:eastAsia="仿宋_GB2312" w:cs="Times New Roman"/>
          <w:color w:val="0C0C0C"/>
          <w:sz w:val="32"/>
          <w:szCs w:val="32"/>
          <w:u w:val="none"/>
          <w:lang w:val="en-US" w:eastAsia="zh-CN"/>
        </w:rPr>
        <w:t>28.00</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222.2</w:t>
      </w:r>
      <w:r>
        <w:rPr>
          <w:rFonts w:hint="default" w:ascii="Times New Roman" w:hAnsi="Times New Roman" w:eastAsia="仿宋_GB2312" w:cs="Times New Roman"/>
          <w:color w:val="0C0C0C"/>
          <w:spacing w:val="-6"/>
          <w:kern w:val="2"/>
          <w:sz w:val="32"/>
          <w:szCs w:val="32"/>
          <w:u w:val="none"/>
          <w:lang w:val="en-US" w:eastAsia="zh-CN" w:bidi="ar-SA"/>
        </w:rPr>
        <w:t>%；负债合计</w:t>
      </w:r>
      <w:r>
        <w:rPr>
          <w:rFonts w:hint="default" w:ascii="Times New Roman" w:hAnsi="Times New Roman" w:eastAsia="仿宋_GB2312" w:cs="Times New Roman"/>
          <w:color w:val="0C0C0C"/>
          <w:sz w:val="32"/>
          <w:szCs w:val="32"/>
          <w:u w:val="none"/>
          <w:lang w:val="en-US" w:eastAsia="zh-CN"/>
        </w:rPr>
        <w:t>6.61</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818.2</w:t>
      </w:r>
      <w:r>
        <w:rPr>
          <w:rFonts w:hint="default" w:ascii="Times New Roman" w:hAnsi="Times New Roman" w:eastAsia="仿宋_GB2312" w:cs="Times New Roman"/>
          <w:color w:val="0C0C0C"/>
          <w:spacing w:val="-6"/>
          <w:kern w:val="2"/>
          <w:sz w:val="32"/>
          <w:szCs w:val="32"/>
          <w:u w:val="none"/>
          <w:lang w:val="en-US" w:eastAsia="zh-CN" w:bidi="ar-SA"/>
        </w:rPr>
        <w:t>%。全年实现营业收入</w:t>
      </w:r>
      <w:r>
        <w:rPr>
          <w:rFonts w:hint="default" w:ascii="Times New Roman" w:hAnsi="Times New Roman" w:eastAsia="仿宋_GB2312" w:cs="Times New Roman"/>
          <w:color w:val="0C0C0C"/>
          <w:sz w:val="32"/>
          <w:szCs w:val="32"/>
          <w:u w:val="none"/>
          <w:lang w:val="en-US" w:eastAsia="zh-CN"/>
        </w:rPr>
        <w:t>28.04</w:t>
      </w:r>
      <w:r>
        <w:rPr>
          <w:rFonts w:hint="default" w:ascii="Times New Roman" w:hAnsi="Times New Roman" w:eastAsia="仿宋_GB2312" w:cs="Times New Roman"/>
          <w:color w:val="0C0C0C"/>
          <w:spacing w:val="-6"/>
          <w:kern w:val="2"/>
          <w:sz w:val="32"/>
          <w:szCs w:val="32"/>
          <w:u w:val="none"/>
          <w:lang w:val="en-US" w:eastAsia="zh-CN" w:bidi="ar-SA"/>
        </w:rPr>
        <w:t>亿元，比2018年增长</w:t>
      </w:r>
      <w:r>
        <w:rPr>
          <w:rFonts w:hint="default" w:ascii="Times New Roman" w:hAnsi="Times New Roman" w:eastAsia="仿宋_GB2312" w:cs="Times New Roman"/>
          <w:color w:val="0C0C0C"/>
          <w:sz w:val="32"/>
          <w:szCs w:val="32"/>
          <w:u w:val="none"/>
          <w:lang w:val="en-US" w:eastAsia="zh-CN"/>
        </w:rPr>
        <w:t>111.3</w:t>
      </w:r>
      <w:r>
        <w:rPr>
          <w:rFonts w:hint="default" w:ascii="Times New Roman" w:hAnsi="Times New Roman" w:eastAsia="仿宋_GB2312" w:cs="Times New Roman"/>
          <w:color w:val="0C0C0C"/>
          <w:spacing w:val="-6"/>
          <w:kern w:val="2"/>
          <w:sz w:val="32"/>
          <w:szCs w:val="32"/>
          <w:u w:val="none"/>
          <w:lang w:val="en-US" w:eastAsia="zh-CN" w:bidi="ar-SA"/>
        </w:rPr>
        <w:t>%（详见表</w:t>
      </w:r>
      <w:r>
        <w:rPr>
          <w:rFonts w:hint="eastAsia" w:eastAsia="仿宋_GB2312" w:cs="Times New Roman"/>
          <w:color w:val="0C0C0C"/>
          <w:spacing w:val="-6"/>
          <w:kern w:val="2"/>
          <w:sz w:val="32"/>
          <w:szCs w:val="32"/>
          <w:u w:val="none"/>
          <w:lang w:val="en-US" w:eastAsia="zh-CN" w:bidi="ar-SA"/>
        </w:rPr>
        <w:t>4</w:t>
      </w:r>
      <w:r>
        <w:rPr>
          <w:rFonts w:hint="default" w:ascii="Times New Roman" w:hAnsi="Times New Roman" w:eastAsia="仿宋_GB2312" w:cs="Times New Roman"/>
          <w:color w:val="0C0C0C"/>
          <w:spacing w:val="-6"/>
          <w:kern w:val="2"/>
          <w:sz w:val="32"/>
          <w:szCs w:val="32"/>
          <w:u w:val="none"/>
          <w:lang w:val="en-US" w:eastAsia="zh-CN" w:bidi="ar-SA"/>
        </w:rPr>
        <w:t>-6）。</w:t>
      </w:r>
    </w:p>
    <w:p w14:paraId="245CA6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176" w:afterLines="30" w:afterAutospacing="0" w:line="600" w:lineRule="exact"/>
        <w:ind w:left="0" w:right="0" w:firstLine="0" w:firstLineChars="0"/>
        <w:jc w:val="center"/>
        <w:textAlignment w:val="auto"/>
        <w:rPr>
          <w:rFonts w:hint="default" w:ascii="Times New Roman" w:hAnsi="Times New Roman" w:eastAsia="宋体" w:cs="Times New Roman"/>
          <w:b/>
          <w:i w:val="0"/>
          <w:caps w:val="0"/>
          <w:color w:val="0C0C0C"/>
          <w:spacing w:val="0"/>
          <w:kern w:val="0"/>
          <w:sz w:val="24"/>
          <w:szCs w:val="24"/>
          <w:highlight w:val="none"/>
          <w:lang w:val="en-US" w:eastAsia="zh-CN" w:bidi="ar"/>
        </w:rPr>
      </w:pPr>
      <w:r>
        <w:rPr>
          <w:rFonts w:hint="default" w:ascii="Times New Roman" w:hAnsi="Times New Roman" w:eastAsia="宋体" w:cs="Times New Roman"/>
          <w:b/>
          <w:i w:val="0"/>
          <w:caps w:val="0"/>
          <w:color w:val="0C0C0C"/>
          <w:spacing w:val="-11"/>
          <w:kern w:val="0"/>
          <w:sz w:val="24"/>
          <w:szCs w:val="24"/>
          <w:highlight w:val="none"/>
          <w:lang w:val="en-US" w:eastAsia="zh-CN" w:bidi="ar"/>
        </w:rPr>
        <w:t>表</w:t>
      </w:r>
      <w:r>
        <w:rPr>
          <w:rFonts w:hint="eastAsia" w:eastAsia="宋体" w:cs="Times New Roman"/>
          <w:b/>
          <w:i w:val="0"/>
          <w:caps w:val="0"/>
          <w:color w:val="0C0C0C"/>
          <w:spacing w:val="-11"/>
          <w:kern w:val="0"/>
          <w:sz w:val="24"/>
          <w:szCs w:val="24"/>
          <w:highlight w:val="none"/>
          <w:lang w:val="en-US" w:eastAsia="zh-CN" w:bidi="ar"/>
        </w:rPr>
        <w:t>4</w:t>
      </w:r>
      <w:r>
        <w:rPr>
          <w:rFonts w:hint="default" w:ascii="Times New Roman" w:hAnsi="Times New Roman" w:eastAsia="宋体" w:cs="Times New Roman"/>
          <w:b/>
          <w:i w:val="0"/>
          <w:caps w:val="0"/>
          <w:color w:val="0C0C0C"/>
          <w:spacing w:val="-11"/>
          <w:kern w:val="0"/>
          <w:sz w:val="24"/>
          <w:szCs w:val="24"/>
          <w:highlight w:val="none"/>
          <w:lang w:val="en-US" w:eastAsia="zh-CN" w:bidi="ar"/>
        </w:rPr>
        <w:t>-6　按行业大类分组的居民服务、修理和其他服务业企业法人单位主要经济指标</w:t>
      </w:r>
    </w:p>
    <w:tbl>
      <w:tblPr>
        <w:tblStyle w:val="18"/>
        <w:tblW w:w="4997"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385"/>
        <w:gridCol w:w="1484"/>
        <w:gridCol w:w="1484"/>
        <w:gridCol w:w="1487"/>
      </w:tblGrid>
      <w:tr w14:paraId="19421DC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tblHeader/>
          <w:jc w:val="center"/>
        </w:trPr>
        <w:tc>
          <w:tcPr>
            <w:tcW w:w="2479" w:type="pct"/>
            <w:tcBorders>
              <w:top w:val="single" w:color="auto" w:sz="12" w:space="0"/>
              <w:left w:val="nil"/>
              <w:bottom w:val="single" w:color="auto" w:sz="4" w:space="0"/>
              <w:right w:val="single" w:color="auto" w:sz="4" w:space="0"/>
            </w:tcBorders>
            <w:noWrap w:val="0"/>
            <w:vAlign w:val="center"/>
          </w:tcPr>
          <w:p w14:paraId="7FE9BD7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color w:val="0C0C0C"/>
                <w:sz w:val="21"/>
                <w:szCs w:val="21"/>
                <w:highlight w:val="none"/>
              </w:rPr>
            </w:pPr>
            <w:r>
              <w:rPr>
                <w:rFonts w:hint="default" w:ascii="Times New Roman" w:hAnsi="Times New Roman" w:eastAsia="宋体" w:cs="Times New Roman"/>
                <w:color w:val="0C0C0C"/>
                <w:kern w:val="0"/>
                <w:sz w:val="21"/>
                <w:szCs w:val="21"/>
                <w:highlight w:val="none"/>
                <w:lang w:val="en-US" w:eastAsia="zh-CN" w:bidi="ar"/>
              </w:rPr>
              <w:t>　</w:t>
            </w:r>
          </w:p>
        </w:tc>
        <w:tc>
          <w:tcPr>
            <w:tcW w:w="839" w:type="pct"/>
            <w:tcBorders>
              <w:top w:val="single" w:color="auto" w:sz="12" w:space="0"/>
              <w:left w:val="single" w:color="auto" w:sz="4" w:space="0"/>
              <w:bottom w:val="single" w:color="auto" w:sz="4" w:space="0"/>
              <w:right w:val="single" w:color="auto" w:sz="4" w:space="0"/>
            </w:tcBorders>
            <w:noWrap w:val="0"/>
            <w:vAlign w:val="center"/>
          </w:tcPr>
          <w:p w14:paraId="65E90D4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资产总计</w:t>
            </w:r>
          </w:p>
          <w:p w14:paraId="6779898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eastAsia" w:ascii="Times New Roman" w:hAnsi="Times New Roman" w:eastAsia="宋体" w:cs="Times New Roman"/>
                <w:color w:val="0C0C0C"/>
                <w:sz w:val="21"/>
                <w:szCs w:val="24"/>
                <w:highlight w:val="none"/>
              </w:rPr>
            </w:pPr>
            <w:r>
              <w:rPr>
                <w:rFonts w:hint="default" w:ascii="Times New Roman" w:hAnsi="Times New Roman" w:eastAsia="宋体" w:cs="Times New Roman"/>
                <w:b/>
                <w:bCs/>
                <w:color w:val="0C0C0C"/>
                <w:kern w:val="0"/>
                <w:sz w:val="21"/>
                <w:szCs w:val="21"/>
                <w:highlight w:val="none"/>
                <w:lang w:val="en-US" w:eastAsia="zh-CN" w:bidi="ar"/>
              </w:rPr>
              <w:t>（亿元）</w:t>
            </w:r>
          </w:p>
        </w:tc>
        <w:tc>
          <w:tcPr>
            <w:tcW w:w="839" w:type="pct"/>
            <w:tcBorders>
              <w:top w:val="single" w:color="auto" w:sz="12" w:space="0"/>
              <w:left w:val="single" w:color="auto" w:sz="4" w:space="0"/>
              <w:bottom w:val="single" w:color="auto" w:sz="4" w:space="0"/>
              <w:right w:val="single" w:color="auto" w:sz="4" w:space="0"/>
            </w:tcBorders>
            <w:noWrap w:val="0"/>
            <w:vAlign w:val="center"/>
          </w:tcPr>
          <w:p w14:paraId="576F223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负债合计</w:t>
            </w:r>
          </w:p>
          <w:p w14:paraId="54C63A6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（亿元）</w:t>
            </w:r>
          </w:p>
        </w:tc>
        <w:tc>
          <w:tcPr>
            <w:tcW w:w="840" w:type="pct"/>
            <w:tcBorders>
              <w:top w:val="single" w:color="auto" w:sz="12" w:space="0"/>
              <w:left w:val="single" w:color="auto" w:sz="4" w:space="0"/>
              <w:bottom w:val="single" w:color="auto" w:sz="4" w:space="0"/>
              <w:right w:val="nil"/>
            </w:tcBorders>
            <w:noWrap w:val="0"/>
            <w:vAlign w:val="center"/>
          </w:tcPr>
          <w:p w14:paraId="29C7A96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营业收入</w:t>
            </w:r>
          </w:p>
          <w:p w14:paraId="6D22F83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left="0" w:right="0" w:firstLine="0" w:firstLineChars="0"/>
              <w:jc w:val="center"/>
              <w:textAlignment w:val="auto"/>
              <w:rPr>
                <w:rFonts w:hint="default" w:ascii="Times New Roman" w:hAnsi="Times New Roman" w:eastAsia="宋体" w:cs="Times New Roman"/>
                <w:b/>
                <w:bCs/>
                <w:color w:val="0C0C0C"/>
                <w:sz w:val="21"/>
                <w:szCs w:val="21"/>
                <w:highlight w:val="none"/>
              </w:rPr>
            </w:pPr>
            <w:r>
              <w:rPr>
                <w:rFonts w:hint="default" w:ascii="Times New Roman" w:hAnsi="Times New Roman" w:eastAsia="宋体" w:cs="Times New Roman"/>
                <w:b/>
                <w:bCs/>
                <w:color w:val="0C0C0C"/>
                <w:kern w:val="0"/>
                <w:sz w:val="21"/>
                <w:szCs w:val="21"/>
                <w:highlight w:val="none"/>
                <w:lang w:val="en-US" w:eastAsia="zh-CN" w:bidi="ar"/>
              </w:rPr>
              <w:t>（亿元）</w:t>
            </w:r>
          </w:p>
        </w:tc>
      </w:tr>
      <w:tr w14:paraId="20FF166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79" w:type="pct"/>
            <w:tcBorders>
              <w:top w:val="single" w:color="auto" w:sz="4" w:space="0"/>
              <w:left w:val="nil"/>
              <w:bottom w:val="nil"/>
              <w:right w:val="single" w:color="auto" w:sz="4" w:space="0"/>
            </w:tcBorders>
            <w:noWrap w:val="0"/>
            <w:vAlign w:val="center"/>
          </w:tcPr>
          <w:p w14:paraId="4FD688F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center"/>
              <w:textAlignment w:val="auto"/>
              <w:rPr>
                <w:rFonts w:hint="default" w:ascii="Times New Roman" w:hAnsi="Times New Roman" w:eastAsia="宋体" w:cs="Times New Roman"/>
                <w:b/>
                <w:bCs w:val="0"/>
                <w:color w:val="0C0C0C"/>
                <w:kern w:val="0"/>
                <w:sz w:val="21"/>
                <w:szCs w:val="21"/>
                <w:highlight w:val="none"/>
                <w:lang w:val="en" w:bidi="ar"/>
              </w:rPr>
            </w:pPr>
            <w:r>
              <w:rPr>
                <w:rFonts w:hint="default" w:ascii="Times New Roman" w:hAnsi="Times New Roman" w:eastAsia="宋体" w:cs="Times New Roman"/>
                <w:b/>
                <w:bCs w:val="0"/>
                <w:color w:val="0C0C0C"/>
                <w:kern w:val="0"/>
                <w:sz w:val="21"/>
                <w:szCs w:val="21"/>
                <w:highlight w:val="none"/>
                <w:lang w:val="en" w:eastAsia="zh-CN" w:bidi="ar"/>
              </w:rPr>
              <w:t>合　计</w:t>
            </w:r>
          </w:p>
        </w:tc>
        <w:tc>
          <w:tcPr>
            <w:tcW w:w="839" w:type="pct"/>
            <w:tcBorders>
              <w:top w:val="single" w:color="auto" w:sz="4" w:space="0"/>
              <w:left w:val="single" w:color="auto" w:sz="4" w:space="0"/>
              <w:bottom w:val="nil"/>
              <w:right w:val="single" w:color="auto" w:sz="4" w:space="0"/>
            </w:tcBorders>
            <w:noWrap w:val="0"/>
            <w:vAlign w:val="center"/>
          </w:tcPr>
          <w:p w14:paraId="6299AC7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 w:eastAsia="zh-CN" w:bidi="ar"/>
              </w:rPr>
            </w:pPr>
            <w:r>
              <w:rPr>
                <w:rFonts w:hint="default" w:ascii="Times New Roman" w:hAnsi="Times New Roman" w:eastAsia="宋体" w:cs="Times New Roman"/>
                <w:b/>
                <w:bCs w:val="0"/>
                <w:i w:val="0"/>
                <w:iCs w:val="0"/>
                <w:color w:val="0C0C0C"/>
                <w:kern w:val="0"/>
                <w:sz w:val="21"/>
                <w:szCs w:val="21"/>
                <w:highlight w:val="none"/>
                <w:u w:val="none"/>
                <w:lang w:val="en" w:eastAsia="zh-CN" w:bidi="ar"/>
              </w:rPr>
              <w:t xml:space="preserve">28.00 </w:t>
            </w:r>
          </w:p>
        </w:tc>
        <w:tc>
          <w:tcPr>
            <w:tcW w:w="839" w:type="pct"/>
            <w:tcBorders>
              <w:top w:val="single" w:color="auto" w:sz="4" w:space="0"/>
              <w:left w:val="single" w:color="auto" w:sz="4" w:space="0"/>
              <w:bottom w:val="nil"/>
              <w:right w:val="single" w:color="auto" w:sz="4" w:space="0"/>
            </w:tcBorders>
            <w:noWrap w:val="0"/>
            <w:vAlign w:val="center"/>
          </w:tcPr>
          <w:p w14:paraId="6365AB5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 w:eastAsia="zh-CN" w:bidi="ar"/>
              </w:rPr>
            </w:pPr>
            <w:r>
              <w:rPr>
                <w:rFonts w:hint="default" w:ascii="Times New Roman" w:hAnsi="Times New Roman" w:eastAsia="宋体" w:cs="Times New Roman"/>
                <w:b/>
                <w:bCs w:val="0"/>
                <w:i w:val="0"/>
                <w:iCs w:val="0"/>
                <w:color w:val="0C0C0C"/>
                <w:kern w:val="0"/>
                <w:sz w:val="21"/>
                <w:szCs w:val="21"/>
                <w:highlight w:val="none"/>
                <w:u w:val="none"/>
                <w:lang w:val="en" w:eastAsia="zh-CN" w:bidi="ar"/>
              </w:rPr>
              <w:t xml:space="preserve">6.61 </w:t>
            </w:r>
          </w:p>
        </w:tc>
        <w:tc>
          <w:tcPr>
            <w:tcW w:w="840" w:type="pct"/>
            <w:tcBorders>
              <w:top w:val="single" w:color="auto" w:sz="4" w:space="0"/>
              <w:left w:val="single" w:color="auto" w:sz="4" w:space="0"/>
              <w:bottom w:val="nil"/>
              <w:right w:val="nil"/>
            </w:tcBorders>
            <w:noWrap w:val="0"/>
            <w:vAlign w:val="center"/>
          </w:tcPr>
          <w:p w14:paraId="0E54FBE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
                <w:bCs w:val="0"/>
                <w:color w:val="0C0C0C"/>
                <w:kern w:val="0"/>
                <w:sz w:val="21"/>
                <w:szCs w:val="21"/>
                <w:highlight w:val="none"/>
                <w:lang w:val="en" w:eastAsia="zh-CN" w:bidi="ar"/>
              </w:rPr>
            </w:pPr>
            <w:r>
              <w:rPr>
                <w:rFonts w:hint="default" w:ascii="Times New Roman" w:hAnsi="Times New Roman" w:eastAsia="宋体" w:cs="Times New Roman"/>
                <w:b/>
                <w:bCs w:val="0"/>
                <w:i w:val="0"/>
                <w:iCs w:val="0"/>
                <w:color w:val="0C0C0C"/>
                <w:kern w:val="0"/>
                <w:sz w:val="21"/>
                <w:szCs w:val="21"/>
                <w:highlight w:val="none"/>
                <w:u w:val="none"/>
                <w:lang w:val="en" w:eastAsia="zh-CN" w:bidi="ar"/>
              </w:rPr>
              <w:t xml:space="preserve">28.04 </w:t>
            </w:r>
          </w:p>
        </w:tc>
      </w:tr>
      <w:tr w14:paraId="2F4E6D3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79" w:type="pct"/>
            <w:tcBorders>
              <w:top w:val="nil"/>
              <w:left w:val="nil"/>
              <w:bottom w:val="nil"/>
              <w:right w:val="single" w:color="auto" w:sz="4" w:space="0"/>
            </w:tcBorders>
            <w:noWrap w:val="0"/>
            <w:vAlign w:val="center"/>
          </w:tcPr>
          <w:p w14:paraId="6512330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val="en" w:bidi="ar"/>
              </w:rPr>
            </w:pPr>
            <w:r>
              <w:rPr>
                <w:rFonts w:hint="default" w:ascii="Times New Roman" w:hAnsi="Times New Roman" w:eastAsia="宋体" w:cs="Times New Roman"/>
                <w:bCs/>
                <w:color w:val="0C0C0C"/>
                <w:kern w:val="0"/>
                <w:sz w:val="21"/>
                <w:szCs w:val="21"/>
                <w:highlight w:val="none"/>
                <w:lang w:val="en" w:eastAsia="zh-CN" w:bidi="ar"/>
              </w:rPr>
              <w:t>居民服务业</w:t>
            </w:r>
          </w:p>
        </w:tc>
        <w:tc>
          <w:tcPr>
            <w:tcW w:w="839" w:type="pct"/>
            <w:tcBorders>
              <w:top w:val="nil"/>
              <w:left w:val="single" w:color="auto" w:sz="4" w:space="0"/>
              <w:bottom w:val="nil"/>
              <w:right w:val="single" w:color="auto" w:sz="4" w:space="0"/>
            </w:tcBorders>
            <w:noWrap w:val="0"/>
            <w:vAlign w:val="center"/>
          </w:tcPr>
          <w:p w14:paraId="1519BEF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9.66 </w:t>
            </w:r>
          </w:p>
        </w:tc>
        <w:tc>
          <w:tcPr>
            <w:tcW w:w="839" w:type="pct"/>
            <w:tcBorders>
              <w:top w:val="nil"/>
              <w:left w:val="single" w:color="auto" w:sz="4" w:space="0"/>
              <w:bottom w:val="nil"/>
              <w:right w:val="single" w:color="auto" w:sz="4" w:space="0"/>
            </w:tcBorders>
            <w:noWrap w:val="0"/>
            <w:vAlign w:val="center"/>
          </w:tcPr>
          <w:p w14:paraId="6527B74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2.56 </w:t>
            </w:r>
          </w:p>
        </w:tc>
        <w:tc>
          <w:tcPr>
            <w:tcW w:w="840" w:type="pct"/>
            <w:tcBorders>
              <w:top w:val="nil"/>
              <w:left w:val="single" w:color="auto" w:sz="4" w:space="0"/>
              <w:bottom w:val="nil"/>
              <w:right w:val="nil"/>
            </w:tcBorders>
            <w:noWrap w:val="0"/>
            <w:vAlign w:val="center"/>
          </w:tcPr>
          <w:p w14:paraId="1D12779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8.59 </w:t>
            </w:r>
          </w:p>
        </w:tc>
      </w:tr>
      <w:tr w14:paraId="3FAEDBA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79" w:type="pct"/>
            <w:tcBorders>
              <w:top w:val="nil"/>
              <w:left w:val="nil"/>
              <w:bottom w:val="nil"/>
              <w:right w:val="single" w:color="auto" w:sz="4" w:space="0"/>
            </w:tcBorders>
            <w:noWrap w:val="0"/>
            <w:vAlign w:val="center"/>
          </w:tcPr>
          <w:p w14:paraId="419B180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val="en" w:bidi="ar"/>
              </w:rPr>
            </w:pPr>
            <w:r>
              <w:rPr>
                <w:rFonts w:hint="default" w:ascii="Times New Roman" w:hAnsi="Times New Roman" w:eastAsia="宋体" w:cs="Times New Roman"/>
                <w:bCs/>
                <w:color w:val="0C0C0C"/>
                <w:kern w:val="0"/>
                <w:sz w:val="21"/>
                <w:szCs w:val="21"/>
                <w:highlight w:val="none"/>
                <w:lang w:val="en" w:eastAsia="zh-CN" w:bidi="ar"/>
              </w:rPr>
              <w:t>机动车、电子产品和日用产品修理业</w:t>
            </w:r>
          </w:p>
        </w:tc>
        <w:tc>
          <w:tcPr>
            <w:tcW w:w="839" w:type="pct"/>
            <w:tcBorders>
              <w:top w:val="nil"/>
              <w:left w:val="single" w:color="auto" w:sz="4" w:space="0"/>
              <w:bottom w:val="nil"/>
              <w:right w:val="single" w:color="auto" w:sz="4" w:space="0"/>
            </w:tcBorders>
            <w:noWrap w:val="0"/>
            <w:vAlign w:val="center"/>
          </w:tcPr>
          <w:p w14:paraId="7D2C7C8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13.32 </w:t>
            </w:r>
          </w:p>
        </w:tc>
        <w:tc>
          <w:tcPr>
            <w:tcW w:w="839" w:type="pct"/>
            <w:tcBorders>
              <w:top w:val="nil"/>
              <w:left w:val="single" w:color="auto" w:sz="4" w:space="0"/>
              <w:bottom w:val="nil"/>
              <w:right w:val="single" w:color="auto" w:sz="4" w:space="0"/>
            </w:tcBorders>
            <w:noWrap w:val="0"/>
            <w:vAlign w:val="center"/>
          </w:tcPr>
          <w:p w14:paraId="19C0CCD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3.29 </w:t>
            </w:r>
          </w:p>
        </w:tc>
        <w:tc>
          <w:tcPr>
            <w:tcW w:w="840" w:type="pct"/>
            <w:tcBorders>
              <w:top w:val="nil"/>
              <w:left w:val="single" w:color="auto" w:sz="4" w:space="0"/>
              <w:bottom w:val="nil"/>
              <w:right w:val="nil"/>
            </w:tcBorders>
            <w:noWrap w:val="0"/>
            <w:vAlign w:val="center"/>
          </w:tcPr>
          <w:p w14:paraId="03E0646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13.97 </w:t>
            </w:r>
          </w:p>
        </w:tc>
      </w:tr>
      <w:tr w14:paraId="11A9428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79" w:type="pct"/>
            <w:tcBorders>
              <w:top w:val="nil"/>
              <w:left w:val="nil"/>
              <w:bottom w:val="single" w:color="auto" w:sz="12" w:space="0"/>
              <w:right w:val="single" w:color="auto" w:sz="4" w:space="0"/>
            </w:tcBorders>
            <w:noWrap w:val="0"/>
            <w:vAlign w:val="center"/>
          </w:tcPr>
          <w:p w14:paraId="1A540D1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20" w:lineRule="exact"/>
              <w:ind w:right="0" w:firstLine="0" w:firstLineChars="0"/>
              <w:jc w:val="left"/>
              <w:textAlignment w:val="auto"/>
              <w:rPr>
                <w:rFonts w:hint="default" w:ascii="Times New Roman" w:hAnsi="Times New Roman" w:eastAsia="宋体" w:cs="Times New Roman"/>
                <w:bCs/>
                <w:color w:val="0C0C0C"/>
                <w:kern w:val="0"/>
                <w:sz w:val="21"/>
                <w:szCs w:val="21"/>
                <w:highlight w:val="none"/>
                <w:lang w:val="en" w:bidi="ar"/>
              </w:rPr>
            </w:pPr>
            <w:r>
              <w:rPr>
                <w:rFonts w:hint="default" w:ascii="Times New Roman" w:hAnsi="Times New Roman" w:eastAsia="宋体" w:cs="Times New Roman"/>
                <w:bCs/>
                <w:color w:val="0C0C0C"/>
                <w:kern w:val="0"/>
                <w:sz w:val="21"/>
                <w:szCs w:val="21"/>
                <w:highlight w:val="none"/>
                <w:lang w:val="en" w:eastAsia="zh-CN" w:bidi="ar"/>
              </w:rPr>
              <w:t>其他服务业</w:t>
            </w:r>
          </w:p>
        </w:tc>
        <w:tc>
          <w:tcPr>
            <w:tcW w:w="839" w:type="pct"/>
            <w:tcBorders>
              <w:top w:val="nil"/>
              <w:left w:val="single" w:color="auto" w:sz="4" w:space="0"/>
              <w:bottom w:val="single" w:color="auto" w:sz="12" w:space="0"/>
              <w:right w:val="single" w:color="auto" w:sz="4" w:space="0"/>
            </w:tcBorders>
            <w:noWrap w:val="0"/>
            <w:vAlign w:val="center"/>
          </w:tcPr>
          <w:p w14:paraId="41F243F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5.02 </w:t>
            </w:r>
          </w:p>
        </w:tc>
        <w:tc>
          <w:tcPr>
            <w:tcW w:w="839" w:type="pct"/>
            <w:tcBorders>
              <w:top w:val="nil"/>
              <w:left w:val="single" w:color="auto" w:sz="4" w:space="0"/>
              <w:bottom w:val="single" w:color="auto" w:sz="12" w:space="0"/>
              <w:right w:val="single" w:color="auto" w:sz="4" w:space="0"/>
            </w:tcBorders>
            <w:noWrap w:val="0"/>
            <w:vAlign w:val="center"/>
          </w:tcPr>
          <w:p w14:paraId="1DBE9B9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0.76 </w:t>
            </w:r>
          </w:p>
        </w:tc>
        <w:tc>
          <w:tcPr>
            <w:tcW w:w="840" w:type="pct"/>
            <w:tcBorders>
              <w:top w:val="nil"/>
              <w:left w:val="single" w:color="auto" w:sz="4" w:space="0"/>
              <w:bottom w:val="single" w:color="auto" w:sz="12" w:space="0"/>
              <w:right w:val="nil"/>
            </w:tcBorders>
            <w:noWrap w:val="0"/>
            <w:vAlign w:val="center"/>
          </w:tcPr>
          <w:p w14:paraId="4322629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20" w:lineRule="exact"/>
              <w:ind w:firstLine="0" w:firstLineChars="0"/>
              <w:jc w:val="right"/>
              <w:textAlignment w:val="auto"/>
              <w:rPr>
                <w:rFonts w:hint="default" w:ascii="Times New Roman" w:hAnsi="Times New Roman" w:eastAsia="宋体" w:cs="Times New Roman"/>
                <w:bCs/>
                <w:color w:val="0C0C0C"/>
                <w:kern w:val="0"/>
                <w:sz w:val="21"/>
                <w:szCs w:val="21"/>
                <w:highlight w:val="none"/>
                <w:lang w:val="en" w:eastAsia="zh-CN" w:bidi="ar"/>
              </w:rPr>
            </w:pPr>
            <w:r>
              <w:rPr>
                <w:rFonts w:hint="default" w:ascii="Times New Roman" w:hAnsi="Times New Roman" w:eastAsia="宋体" w:cs="Times New Roman"/>
                <w:bCs/>
                <w:i w:val="0"/>
                <w:iCs w:val="0"/>
                <w:color w:val="0C0C0C"/>
                <w:kern w:val="0"/>
                <w:sz w:val="21"/>
                <w:szCs w:val="21"/>
                <w:highlight w:val="none"/>
                <w:u w:val="none"/>
                <w:lang w:val="en" w:eastAsia="zh-CN" w:bidi="ar"/>
              </w:rPr>
              <w:t xml:space="preserve">5.48 </w:t>
            </w:r>
          </w:p>
        </w:tc>
      </w:tr>
    </w:tbl>
    <w:p w14:paraId="11D9D84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firstLine="632" w:firstLineChars="200"/>
        <w:jc w:val="both"/>
        <w:textAlignment w:val="auto"/>
        <w:rPr>
          <w:rFonts w:hint="default" w:ascii="Times New Roman" w:hAnsi="Times New Roman" w:eastAsia="黑体" w:cs="Times New Roman"/>
          <w:b w:val="0"/>
          <w:bCs/>
          <w:i w:val="0"/>
          <w:caps w:val="0"/>
          <w:color w:val="0C0C0C"/>
          <w:spacing w:val="0"/>
          <w:kern w:val="0"/>
          <w:sz w:val="32"/>
          <w:szCs w:val="32"/>
          <w:highlight w:val="none"/>
          <w:lang w:val="en-US" w:eastAsia="zh-CN" w:bidi="ar"/>
        </w:rPr>
      </w:pPr>
      <w:r>
        <w:rPr>
          <w:rFonts w:hint="default" w:ascii="Times New Roman" w:hAnsi="Times New Roman" w:eastAsia="黑体" w:cs="Times New Roman"/>
          <w:b w:val="0"/>
          <w:bCs/>
          <w:i w:val="0"/>
          <w:caps w:val="0"/>
          <w:color w:val="0C0C0C"/>
          <w:spacing w:val="0"/>
          <w:kern w:val="0"/>
          <w:sz w:val="32"/>
          <w:szCs w:val="32"/>
          <w:highlight w:val="none"/>
          <w:lang w:val="en-US" w:eastAsia="zh-CN" w:bidi="ar"/>
        </w:rPr>
        <w:t>四、教育</w:t>
      </w:r>
    </w:p>
    <w:p w14:paraId="75D349C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right="0" w:firstLine="632" w:firstLineChars="200"/>
        <w:jc w:val="left"/>
        <w:textAlignment w:val="auto"/>
        <w:rPr>
          <w:rFonts w:hint="default" w:ascii="Times New Roman" w:hAnsi="Times New Roman" w:eastAsia="楷体_GB2312" w:cs="Times New Roman"/>
          <w:i w:val="0"/>
          <w:caps w:val="0"/>
          <w:color w:val="0C0C0C"/>
          <w:spacing w:val="0"/>
          <w:kern w:val="0"/>
          <w:sz w:val="32"/>
          <w:szCs w:val="32"/>
          <w:highlight w:val="none"/>
          <w:lang w:val="en-US" w:eastAsia="zh-CN" w:bidi="ar"/>
        </w:rPr>
      </w:pPr>
      <w:r>
        <w:rPr>
          <w:rFonts w:hint="default" w:ascii="Times New Roman" w:hAnsi="Times New Roman" w:eastAsia="楷体_GB2312" w:cs="Times New Roman"/>
          <w:i w:val="0"/>
          <w:caps w:val="0"/>
          <w:color w:val="0C0C0C"/>
          <w:spacing w:val="0"/>
          <w:kern w:val="0"/>
          <w:sz w:val="32"/>
          <w:szCs w:val="32"/>
          <w:highlight w:val="none"/>
          <w:lang w:val="en-US" w:eastAsia="zh-CN" w:bidi="ar"/>
        </w:rPr>
        <w:t>（一）法人单位数和从业人员</w:t>
      </w:r>
    </w:p>
    <w:p w14:paraId="6F40BF4F">
      <w:pPr>
        <w:pStyle w:val="7"/>
        <w:keepNext w:val="0"/>
        <w:keepLines w:val="0"/>
        <w:pageBreakBefore w:val="0"/>
        <w:widowControl w:val="0"/>
        <w:kinsoku/>
        <w:wordWrap/>
        <w:overflowPunct/>
        <w:topLinePunct w:val="0"/>
        <w:autoSpaceDE/>
        <w:autoSpaceDN/>
        <w:bidi w:val="0"/>
        <w:adjustRightInd/>
        <w:snapToGrid/>
        <w:spacing w:line="240" w:lineRule="auto"/>
        <w:ind w:firstLine="632"/>
        <w:textAlignment w:val="center"/>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2023年末，全市共有教育法人单位</w:t>
      </w:r>
      <w:r>
        <w:rPr>
          <w:rFonts w:hint="default" w:ascii="Times New Roman" w:hAnsi="Times New Roman" w:eastAsia="仿宋_GB2312" w:cs="Times New Roman"/>
          <w:color w:val="0C0C0C"/>
          <w:sz w:val="32"/>
          <w:szCs w:val="32"/>
          <w:u w:val="none"/>
          <w:lang w:val="en-US" w:eastAsia="zh-CN"/>
        </w:rPr>
        <w:t>788</w:t>
      </w:r>
      <w:r>
        <w:rPr>
          <w:rFonts w:hint="default" w:ascii="Times New Roman" w:hAnsi="Times New Roman" w:eastAsia="仿宋_GB2312" w:cs="Times New Roman"/>
          <w:color w:val="0C0C0C"/>
          <w:spacing w:val="-6"/>
          <w:kern w:val="2"/>
          <w:sz w:val="32"/>
          <w:szCs w:val="32"/>
          <w:u w:val="none"/>
          <w:lang w:val="en-US" w:eastAsia="zh-CN" w:bidi="ar-SA"/>
        </w:rPr>
        <w:t>个，从业人员</w:t>
      </w:r>
      <w:r>
        <w:rPr>
          <w:rFonts w:hint="default" w:ascii="Times New Roman" w:hAnsi="Times New Roman" w:eastAsia="仿宋_GB2312" w:cs="Times New Roman"/>
          <w:color w:val="0C0C0C"/>
          <w:sz w:val="32"/>
          <w:szCs w:val="32"/>
          <w:u w:val="none"/>
          <w:lang w:val="en-US" w:eastAsia="zh-CN"/>
        </w:rPr>
        <w:t>23668</w:t>
      </w:r>
      <w:r>
        <w:rPr>
          <w:rFonts w:hint="default" w:ascii="Times New Roman" w:hAnsi="Times New Roman" w:eastAsia="仿宋_GB2312" w:cs="Times New Roman"/>
          <w:color w:val="0C0C0C"/>
          <w:spacing w:val="-6"/>
          <w:kern w:val="2"/>
          <w:sz w:val="32"/>
          <w:szCs w:val="32"/>
          <w:u w:val="none"/>
          <w:lang w:val="en-US" w:eastAsia="zh-CN" w:bidi="ar-SA"/>
        </w:rPr>
        <w:t>人，分别比2018年末增长</w:t>
      </w:r>
      <w:r>
        <w:rPr>
          <w:rFonts w:hint="default" w:ascii="Times New Roman" w:hAnsi="Times New Roman" w:eastAsia="仿宋_GB2312" w:cs="Times New Roman"/>
          <w:color w:val="0C0C0C"/>
          <w:sz w:val="32"/>
          <w:szCs w:val="32"/>
          <w:u w:val="none"/>
          <w:lang w:val="en-US" w:eastAsia="zh-CN"/>
        </w:rPr>
        <w:t>25.3</w:t>
      </w:r>
      <w:r>
        <w:rPr>
          <w:rFonts w:hint="default" w:ascii="Times New Roman" w:hAnsi="Times New Roman" w:eastAsia="仿宋_GB2312" w:cs="Times New Roman"/>
          <w:color w:val="0C0C0C"/>
          <w:spacing w:val="-6"/>
          <w:kern w:val="2"/>
          <w:sz w:val="32"/>
          <w:szCs w:val="32"/>
          <w:u w:val="none"/>
          <w:lang w:val="en-US" w:eastAsia="zh-CN" w:bidi="ar-SA"/>
        </w:rPr>
        <w:t>%和15.9%。其中，行政事业及非企业法人单位</w:t>
      </w:r>
      <w:r>
        <w:rPr>
          <w:rFonts w:hint="default" w:ascii="Times New Roman" w:hAnsi="Times New Roman" w:eastAsia="仿宋_GB2312" w:cs="Times New Roman"/>
          <w:color w:val="0C0C0C"/>
          <w:sz w:val="32"/>
          <w:szCs w:val="32"/>
          <w:u w:val="none"/>
          <w:lang w:val="en-US" w:eastAsia="zh-CN"/>
        </w:rPr>
        <w:t>479</w:t>
      </w:r>
      <w:r>
        <w:rPr>
          <w:rFonts w:hint="default" w:ascii="Times New Roman" w:hAnsi="Times New Roman" w:eastAsia="仿宋_GB2312" w:cs="Times New Roman"/>
          <w:color w:val="0C0C0C"/>
          <w:spacing w:val="-6"/>
          <w:kern w:val="2"/>
          <w:sz w:val="32"/>
          <w:szCs w:val="32"/>
          <w:u w:val="none"/>
          <w:lang w:val="en-US" w:eastAsia="zh-CN" w:bidi="ar-SA"/>
        </w:rPr>
        <w:t>个，从业人员20004人，分别比2018年末增长</w:t>
      </w:r>
      <w:r>
        <w:rPr>
          <w:rFonts w:hint="default" w:ascii="Times New Roman" w:hAnsi="Times New Roman" w:eastAsia="仿宋_GB2312" w:cs="Times New Roman"/>
          <w:color w:val="0C0C0C"/>
          <w:sz w:val="32"/>
          <w:szCs w:val="32"/>
          <w:u w:val="none"/>
          <w:lang w:val="en-US" w:eastAsia="zh-CN"/>
        </w:rPr>
        <w:t>11.7</w:t>
      </w:r>
      <w:r>
        <w:rPr>
          <w:rFonts w:hint="default" w:ascii="Times New Roman" w:hAnsi="Times New Roman" w:eastAsia="仿宋_GB2312" w:cs="Times New Roman"/>
          <w:color w:val="0C0C0C"/>
          <w:spacing w:val="-6"/>
          <w:kern w:val="2"/>
          <w:sz w:val="32"/>
          <w:szCs w:val="32"/>
          <w:u w:val="none"/>
          <w:lang w:val="en-US" w:eastAsia="zh-CN" w:bidi="ar-SA"/>
        </w:rPr>
        <w:t>%和17.9%。</w:t>
      </w:r>
    </w:p>
    <w:p w14:paraId="470A2769">
      <w:pPr>
        <w:pBdr>
          <w:top w:val="none" w:color="auto" w:sz="0" w:space="0"/>
          <w:left w:val="none" w:color="auto" w:sz="0" w:space="0"/>
          <w:bottom w:val="none" w:color="auto" w:sz="0" w:space="0"/>
          <w:right w:val="none" w:color="auto" w:sz="0" w:space="0"/>
        </w:pBdr>
        <w:spacing w:beforeLines="0"/>
        <w:jc w:val="left"/>
        <w:textAlignment w:val="auto"/>
        <w:rPr>
          <w:rFonts w:hint="default" w:ascii="Times New Roman" w:hAnsi="Times New Roman" w:eastAsia="楷体_GB2312" w:cs="Times New Roman"/>
          <w:color w:val="0C0C0C"/>
          <w:spacing w:val="0"/>
          <w:kern w:val="0"/>
          <w:sz w:val="32"/>
          <w:szCs w:val="32"/>
          <w:highlight w:val="none"/>
          <w:u w:val="none"/>
          <w:lang w:val="en-US" w:eastAsia="zh-CN" w:bidi="ar"/>
        </w:rPr>
      </w:pPr>
      <w:r>
        <w:rPr>
          <w:rFonts w:hint="default" w:ascii="Times New Roman" w:hAnsi="Times New Roman" w:eastAsia="楷体_GB2312" w:cs="Times New Roman"/>
          <w:color w:val="0C0C0C"/>
          <w:spacing w:val="0"/>
          <w:kern w:val="0"/>
          <w:sz w:val="32"/>
          <w:szCs w:val="32"/>
          <w:highlight w:val="none"/>
          <w:u w:val="none"/>
          <w:lang w:val="en-US" w:eastAsia="zh-CN" w:bidi="ar"/>
        </w:rPr>
        <w:t>（二）主要经济指标</w:t>
      </w:r>
    </w:p>
    <w:p w14:paraId="47BC1059">
      <w:pPr>
        <w:pStyle w:val="7"/>
        <w:keepNext w:val="0"/>
        <w:keepLines w:val="0"/>
        <w:pageBreakBefore w:val="0"/>
        <w:widowControl/>
        <w:kinsoku/>
        <w:wordWrap/>
        <w:overflowPunct/>
        <w:topLinePunct w:val="0"/>
        <w:autoSpaceDE/>
        <w:autoSpaceDN/>
        <w:bidi w:val="0"/>
        <w:adjustRightInd/>
        <w:snapToGrid/>
        <w:spacing w:line="240" w:lineRule="auto"/>
        <w:ind w:left="0" w:leftChars="0" w:firstLine="632" w:firstLineChars="0"/>
        <w:textAlignment w:val="auto"/>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2023年末，教育企业法人单位资产总计</w:t>
      </w:r>
      <w:r>
        <w:rPr>
          <w:rFonts w:hint="default" w:ascii="Times New Roman" w:hAnsi="Times New Roman" w:eastAsia="仿宋_GB2312" w:cs="Times New Roman"/>
          <w:color w:val="0C0C0C"/>
          <w:sz w:val="32"/>
          <w:szCs w:val="32"/>
          <w:u w:val="none"/>
          <w:lang w:val="en-US" w:eastAsia="zh-CN"/>
        </w:rPr>
        <w:t>7.39</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14.4</w:t>
      </w:r>
      <w:r>
        <w:rPr>
          <w:rFonts w:hint="default" w:ascii="Times New Roman" w:hAnsi="Times New Roman" w:eastAsia="仿宋_GB2312" w:cs="Times New Roman"/>
          <w:color w:val="0C0C0C"/>
          <w:spacing w:val="-6"/>
          <w:kern w:val="2"/>
          <w:sz w:val="32"/>
          <w:szCs w:val="32"/>
          <w:u w:val="none"/>
          <w:lang w:val="en-US" w:eastAsia="zh-CN" w:bidi="ar-SA"/>
        </w:rPr>
        <w:t>%；负债合计</w:t>
      </w:r>
      <w:r>
        <w:rPr>
          <w:rFonts w:hint="default" w:ascii="Times New Roman" w:hAnsi="Times New Roman" w:eastAsia="仿宋_GB2312" w:cs="Times New Roman"/>
          <w:color w:val="0C0C0C"/>
          <w:sz w:val="32"/>
          <w:szCs w:val="32"/>
          <w:u w:val="none"/>
          <w:lang w:val="en-US" w:eastAsia="zh-CN"/>
        </w:rPr>
        <w:t>0.79</w:t>
      </w:r>
      <w:r>
        <w:rPr>
          <w:rFonts w:hint="default" w:ascii="Times New Roman" w:hAnsi="Times New Roman" w:eastAsia="仿宋_GB2312" w:cs="Times New Roman"/>
          <w:color w:val="0C0C0C"/>
          <w:spacing w:val="-6"/>
          <w:kern w:val="2"/>
          <w:sz w:val="32"/>
          <w:szCs w:val="32"/>
          <w:u w:val="none"/>
          <w:lang w:val="en-US" w:eastAsia="zh-CN" w:bidi="ar-SA"/>
        </w:rPr>
        <w:t>亿元，比2018年末下降32.8%。全年实现营业收入</w:t>
      </w:r>
      <w:r>
        <w:rPr>
          <w:rFonts w:hint="default" w:ascii="Times New Roman" w:hAnsi="Times New Roman" w:eastAsia="仿宋_GB2312" w:cs="Times New Roman"/>
          <w:color w:val="0C0C0C"/>
          <w:sz w:val="32"/>
          <w:szCs w:val="32"/>
          <w:u w:val="none"/>
          <w:lang w:val="en-US" w:eastAsia="zh-CN"/>
        </w:rPr>
        <w:t>10.77</w:t>
      </w:r>
      <w:r>
        <w:rPr>
          <w:rFonts w:hint="default" w:ascii="Times New Roman" w:hAnsi="Times New Roman" w:eastAsia="仿宋_GB2312" w:cs="Times New Roman"/>
          <w:color w:val="0C0C0C"/>
          <w:spacing w:val="-6"/>
          <w:kern w:val="2"/>
          <w:sz w:val="32"/>
          <w:szCs w:val="32"/>
          <w:u w:val="none"/>
          <w:lang w:val="en-US" w:eastAsia="zh-CN" w:bidi="ar-SA"/>
        </w:rPr>
        <w:t>亿元，比2018年下降3.4%。</w:t>
      </w:r>
    </w:p>
    <w:p w14:paraId="64B78587">
      <w:pPr>
        <w:pStyle w:val="7"/>
        <w:keepNext w:val="0"/>
        <w:keepLines w:val="0"/>
        <w:pageBreakBefore w:val="0"/>
        <w:kinsoku/>
        <w:wordWrap/>
        <w:overflowPunct/>
        <w:topLinePunct w:val="0"/>
        <w:autoSpaceDE/>
        <w:autoSpaceDN/>
        <w:bidi w:val="0"/>
        <w:adjustRightInd/>
        <w:snapToGrid/>
        <w:spacing w:line="240" w:lineRule="auto"/>
        <w:ind w:firstLine="632"/>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行政事业及非企业法人单位年末资产</w:t>
      </w:r>
      <w:r>
        <w:rPr>
          <w:rFonts w:hint="default" w:ascii="Times New Roman" w:hAnsi="Times New Roman" w:eastAsia="仿宋_GB2312" w:cs="Times New Roman"/>
          <w:color w:val="0C0C0C"/>
          <w:sz w:val="32"/>
          <w:szCs w:val="32"/>
          <w:u w:val="none"/>
          <w:lang w:val="en-US" w:eastAsia="zh-CN"/>
        </w:rPr>
        <w:t>34.</w:t>
      </w:r>
      <w:r>
        <w:rPr>
          <w:rFonts w:hint="default" w:eastAsia="仿宋_GB2312" w:cs="Times New Roman"/>
          <w:color w:val="0C0C0C"/>
          <w:sz w:val="32"/>
          <w:szCs w:val="32"/>
          <w:u w:val="none"/>
          <w:lang w:val="en-US" w:eastAsia="zh-CN"/>
        </w:rPr>
        <w:t>6</w:t>
      </w:r>
      <w:r>
        <w:rPr>
          <w:rFonts w:hint="default" w:ascii="Times New Roman" w:hAnsi="Times New Roman" w:eastAsia="仿宋_GB2312" w:cs="Times New Roman"/>
          <w:color w:val="0C0C0C"/>
          <w:sz w:val="32"/>
          <w:szCs w:val="32"/>
          <w:u w:val="none"/>
          <w:lang w:val="en-US" w:eastAsia="zh-CN"/>
        </w:rPr>
        <w:t>7</w:t>
      </w:r>
      <w:r>
        <w:rPr>
          <w:rFonts w:hint="default" w:ascii="Times New Roman" w:hAnsi="Times New Roman" w:eastAsia="仿宋_GB2312" w:cs="Times New Roman"/>
          <w:color w:val="0C0C0C"/>
          <w:spacing w:val="-6"/>
          <w:kern w:val="2"/>
          <w:sz w:val="32"/>
          <w:szCs w:val="32"/>
          <w:u w:val="none"/>
          <w:lang w:val="en-US" w:eastAsia="zh-CN" w:bidi="ar-SA"/>
        </w:rPr>
        <w:t>亿元，比2018年末下降49.7%。本年支出（费用）合计</w:t>
      </w:r>
      <w:r>
        <w:rPr>
          <w:rFonts w:hint="default" w:ascii="Times New Roman" w:hAnsi="Times New Roman" w:eastAsia="仿宋_GB2312" w:cs="Times New Roman"/>
          <w:color w:val="0C0C0C"/>
          <w:sz w:val="32"/>
          <w:szCs w:val="32"/>
          <w:u w:val="none"/>
          <w:lang w:val="en-US" w:eastAsia="zh-CN"/>
        </w:rPr>
        <w:t>40.1</w:t>
      </w:r>
      <w:r>
        <w:rPr>
          <w:rFonts w:hint="default" w:eastAsia="仿宋_GB2312" w:cs="Times New Roman"/>
          <w:color w:val="0C0C0C"/>
          <w:sz w:val="32"/>
          <w:szCs w:val="32"/>
          <w:u w:val="none"/>
          <w:lang w:val="en-US" w:eastAsia="zh-CN"/>
        </w:rPr>
        <w:t>3</w:t>
      </w:r>
      <w:r>
        <w:rPr>
          <w:rFonts w:hint="default" w:ascii="Times New Roman" w:hAnsi="Times New Roman" w:eastAsia="仿宋_GB2312" w:cs="Times New Roman"/>
          <w:color w:val="0C0C0C"/>
          <w:spacing w:val="-6"/>
          <w:kern w:val="2"/>
          <w:sz w:val="32"/>
          <w:szCs w:val="32"/>
          <w:u w:val="none"/>
          <w:lang w:val="en-US" w:eastAsia="zh-CN" w:bidi="ar-SA"/>
        </w:rPr>
        <w:t>亿元，比2018年增长59.</w:t>
      </w:r>
      <w:r>
        <w:rPr>
          <w:rFonts w:hint="default" w:eastAsia="仿宋_GB2312" w:cs="Times New Roman"/>
          <w:color w:val="0C0C0C"/>
          <w:spacing w:val="-6"/>
          <w:kern w:val="2"/>
          <w:sz w:val="32"/>
          <w:szCs w:val="32"/>
          <w:u w:val="none"/>
          <w:lang w:val="en-US" w:eastAsia="zh-CN" w:bidi="ar-SA"/>
        </w:rPr>
        <w:t>4</w:t>
      </w:r>
      <w:r>
        <w:rPr>
          <w:rFonts w:hint="default" w:ascii="Times New Roman" w:hAnsi="Times New Roman" w:eastAsia="仿宋_GB2312" w:cs="Times New Roman"/>
          <w:color w:val="0C0C0C"/>
          <w:spacing w:val="-6"/>
          <w:kern w:val="2"/>
          <w:sz w:val="32"/>
          <w:szCs w:val="32"/>
          <w:u w:val="none"/>
          <w:lang w:val="en-US" w:eastAsia="zh-CN" w:bidi="ar-SA"/>
        </w:rPr>
        <w:t>%。</w:t>
      </w:r>
    </w:p>
    <w:p w14:paraId="2D57564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32"/>
        <w:jc w:val="both"/>
        <w:textAlignment w:val="auto"/>
        <w:rPr>
          <w:rFonts w:hint="default" w:ascii="Times New Roman" w:hAnsi="Times New Roman" w:eastAsia="黑体" w:cs="Times New Roman"/>
          <w:i w:val="0"/>
          <w:caps w:val="0"/>
          <w:color w:val="0C0C0C"/>
          <w:spacing w:val="0"/>
          <w:sz w:val="32"/>
          <w:szCs w:val="32"/>
          <w:highlight w:val="none"/>
        </w:rPr>
      </w:pPr>
      <w:r>
        <w:rPr>
          <w:rFonts w:hint="default" w:ascii="Times New Roman" w:hAnsi="Times New Roman" w:eastAsia="黑体" w:cs="Times New Roman"/>
          <w:b w:val="0"/>
          <w:bCs/>
          <w:i w:val="0"/>
          <w:caps w:val="0"/>
          <w:color w:val="0C0C0C"/>
          <w:spacing w:val="0"/>
          <w:kern w:val="0"/>
          <w:sz w:val="32"/>
          <w:szCs w:val="32"/>
          <w:highlight w:val="none"/>
          <w:lang w:val="en-US" w:eastAsia="zh-CN" w:bidi="ar"/>
        </w:rPr>
        <w:t>五、卫生和社会工作</w:t>
      </w:r>
    </w:p>
    <w:p w14:paraId="744C8EE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right="0" w:firstLine="632"/>
        <w:jc w:val="left"/>
        <w:textAlignment w:val="auto"/>
        <w:rPr>
          <w:rFonts w:hint="default" w:ascii="Times New Roman" w:hAnsi="Times New Roman" w:eastAsia="楷体_GB2312" w:cs="Times New Roman"/>
          <w:i w:val="0"/>
          <w:caps w:val="0"/>
          <w:color w:val="0C0C0C"/>
          <w:spacing w:val="0"/>
          <w:kern w:val="0"/>
          <w:sz w:val="32"/>
          <w:szCs w:val="32"/>
          <w:highlight w:val="none"/>
          <w:lang w:bidi="ar"/>
        </w:rPr>
      </w:pPr>
      <w:r>
        <w:rPr>
          <w:rFonts w:hint="default" w:ascii="Times New Roman" w:hAnsi="Times New Roman" w:eastAsia="楷体_GB2312" w:cs="Times New Roman"/>
          <w:i w:val="0"/>
          <w:caps w:val="0"/>
          <w:color w:val="0C0C0C"/>
          <w:spacing w:val="0"/>
          <w:kern w:val="0"/>
          <w:sz w:val="32"/>
          <w:szCs w:val="32"/>
          <w:highlight w:val="none"/>
          <w:lang w:val="en-US" w:eastAsia="zh-CN" w:bidi="ar"/>
        </w:rPr>
        <w:t>（一）法人单位数和从业人员</w:t>
      </w:r>
    </w:p>
    <w:p w14:paraId="5B50DB7A">
      <w:pPr>
        <w:pStyle w:val="7"/>
        <w:keepNext w:val="0"/>
        <w:keepLines w:val="0"/>
        <w:pageBreakBefore w:val="0"/>
        <w:kinsoku/>
        <w:wordWrap/>
        <w:overflowPunct/>
        <w:topLinePunct w:val="0"/>
        <w:autoSpaceDE/>
        <w:autoSpaceDN/>
        <w:bidi w:val="0"/>
        <w:adjustRightInd/>
        <w:snapToGrid/>
        <w:spacing w:line="240" w:lineRule="auto"/>
        <w:ind w:firstLine="632"/>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2023年末，全市共有卫生和社会工作法人单位</w:t>
      </w:r>
      <w:r>
        <w:rPr>
          <w:rFonts w:hint="default" w:ascii="Times New Roman" w:hAnsi="Times New Roman" w:eastAsia="仿宋_GB2312" w:cs="Times New Roman"/>
          <w:color w:val="0C0C0C"/>
          <w:sz w:val="32"/>
          <w:szCs w:val="32"/>
          <w:u w:val="none"/>
          <w:lang w:val="en-US" w:eastAsia="zh-CN"/>
        </w:rPr>
        <w:t>185</w:t>
      </w:r>
      <w:r>
        <w:rPr>
          <w:rFonts w:hint="default" w:ascii="Times New Roman" w:hAnsi="Times New Roman" w:eastAsia="仿宋_GB2312" w:cs="Times New Roman"/>
          <w:color w:val="0C0C0C"/>
          <w:spacing w:val="-6"/>
          <w:kern w:val="2"/>
          <w:sz w:val="32"/>
          <w:szCs w:val="32"/>
          <w:u w:val="none"/>
          <w:lang w:val="en-US" w:eastAsia="zh-CN" w:bidi="ar-SA"/>
        </w:rPr>
        <w:t>个，从业人员</w:t>
      </w:r>
      <w:r>
        <w:rPr>
          <w:rFonts w:hint="default" w:ascii="Times New Roman" w:hAnsi="Times New Roman" w:eastAsia="仿宋_GB2312" w:cs="Times New Roman"/>
          <w:color w:val="0C0C0C"/>
          <w:sz w:val="32"/>
          <w:szCs w:val="32"/>
          <w:u w:val="none"/>
          <w:lang w:val="en-US" w:eastAsia="zh-CN"/>
        </w:rPr>
        <w:t>6301</w:t>
      </w:r>
      <w:r>
        <w:rPr>
          <w:rFonts w:hint="default" w:ascii="Times New Roman" w:hAnsi="Times New Roman" w:eastAsia="仿宋_GB2312" w:cs="Times New Roman"/>
          <w:color w:val="0C0C0C"/>
          <w:spacing w:val="-6"/>
          <w:kern w:val="2"/>
          <w:sz w:val="32"/>
          <w:szCs w:val="32"/>
          <w:u w:val="none"/>
          <w:lang w:val="en-US" w:eastAsia="zh-CN" w:bidi="ar-SA"/>
        </w:rPr>
        <w:t>人，分别比2018年末增长</w:t>
      </w:r>
      <w:r>
        <w:rPr>
          <w:rFonts w:hint="default" w:ascii="Times New Roman" w:hAnsi="Times New Roman" w:eastAsia="仿宋_GB2312" w:cs="Times New Roman"/>
          <w:color w:val="0C0C0C"/>
          <w:sz w:val="32"/>
          <w:szCs w:val="32"/>
          <w:u w:val="none"/>
          <w:lang w:val="en-US" w:eastAsia="zh-CN"/>
        </w:rPr>
        <w:t>42.3</w:t>
      </w:r>
      <w:r>
        <w:rPr>
          <w:rFonts w:hint="default" w:ascii="Times New Roman" w:hAnsi="Times New Roman" w:eastAsia="仿宋_GB2312" w:cs="Times New Roman"/>
          <w:color w:val="0C0C0C"/>
          <w:spacing w:val="-6"/>
          <w:kern w:val="2"/>
          <w:sz w:val="32"/>
          <w:szCs w:val="32"/>
          <w:u w:val="none"/>
          <w:lang w:val="en-US" w:eastAsia="zh-CN" w:bidi="ar-SA"/>
        </w:rPr>
        <w:t>%和39.2%。其中，行政事业及非企业法人单位</w:t>
      </w:r>
      <w:r>
        <w:rPr>
          <w:rFonts w:hint="default" w:ascii="Times New Roman" w:hAnsi="Times New Roman" w:eastAsia="仿宋_GB2312" w:cs="Times New Roman"/>
          <w:color w:val="0C0C0C"/>
          <w:sz w:val="32"/>
          <w:szCs w:val="32"/>
          <w:u w:val="none"/>
          <w:lang w:val="en-US" w:eastAsia="zh-CN"/>
        </w:rPr>
        <w:t>41</w:t>
      </w:r>
      <w:r>
        <w:rPr>
          <w:rFonts w:hint="default" w:ascii="Times New Roman" w:hAnsi="Times New Roman" w:eastAsia="仿宋_GB2312" w:cs="Times New Roman"/>
          <w:color w:val="0C0C0C"/>
          <w:spacing w:val="-6"/>
          <w:kern w:val="2"/>
          <w:sz w:val="32"/>
          <w:szCs w:val="32"/>
          <w:u w:val="none"/>
          <w:lang w:val="en-US" w:eastAsia="zh-CN" w:bidi="ar-SA"/>
        </w:rPr>
        <w:t>个，比2018年末下降</w:t>
      </w:r>
      <w:r>
        <w:rPr>
          <w:rFonts w:hint="default" w:ascii="Times New Roman" w:hAnsi="Times New Roman" w:eastAsia="仿宋_GB2312" w:cs="Times New Roman"/>
          <w:color w:val="0C0C0C"/>
          <w:sz w:val="32"/>
          <w:szCs w:val="32"/>
          <w:u w:val="none"/>
          <w:lang w:val="en-US" w:eastAsia="zh-CN"/>
        </w:rPr>
        <w:t>48.1</w:t>
      </w:r>
      <w:r>
        <w:rPr>
          <w:rFonts w:hint="default" w:ascii="Times New Roman" w:hAnsi="Times New Roman" w:eastAsia="仿宋_GB2312" w:cs="Times New Roman"/>
          <w:color w:val="0C0C0C"/>
          <w:spacing w:val="-6"/>
          <w:kern w:val="2"/>
          <w:sz w:val="32"/>
          <w:szCs w:val="32"/>
          <w:u w:val="none"/>
          <w:lang w:val="en-US" w:eastAsia="zh-CN" w:bidi="ar-SA"/>
        </w:rPr>
        <w:t>%；从业人员</w:t>
      </w:r>
      <w:r>
        <w:rPr>
          <w:rFonts w:hint="default" w:ascii="Times New Roman" w:hAnsi="Times New Roman" w:eastAsia="仿宋_GB2312" w:cs="Times New Roman"/>
          <w:color w:val="0C0C0C"/>
          <w:sz w:val="32"/>
          <w:szCs w:val="32"/>
          <w:u w:val="none"/>
          <w:lang w:val="en-US" w:eastAsia="zh-CN"/>
        </w:rPr>
        <w:t>5420</w:t>
      </w:r>
      <w:r>
        <w:rPr>
          <w:rFonts w:hint="default" w:ascii="Times New Roman" w:hAnsi="Times New Roman" w:eastAsia="仿宋_GB2312" w:cs="Times New Roman"/>
          <w:color w:val="0C0C0C"/>
          <w:spacing w:val="-6"/>
          <w:kern w:val="2"/>
          <w:sz w:val="32"/>
          <w:szCs w:val="32"/>
          <w:u w:val="none"/>
          <w:lang w:val="en-US" w:eastAsia="zh-CN" w:bidi="ar-SA"/>
        </w:rPr>
        <w:t>人，比2018年末增长</w:t>
      </w:r>
      <w:r>
        <w:rPr>
          <w:rFonts w:hint="default" w:ascii="Times New Roman" w:hAnsi="Times New Roman" w:eastAsia="仿宋_GB2312" w:cs="Times New Roman"/>
          <w:color w:val="0C0C0C"/>
          <w:sz w:val="32"/>
          <w:szCs w:val="32"/>
          <w:u w:val="none"/>
          <w:lang w:val="en-US" w:eastAsia="zh-CN"/>
        </w:rPr>
        <w:t>53.4</w:t>
      </w:r>
      <w:r>
        <w:rPr>
          <w:rFonts w:hint="default" w:ascii="Times New Roman" w:hAnsi="Times New Roman" w:eastAsia="仿宋_GB2312" w:cs="Times New Roman"/>
          <w:color w:val="0C0C0C"/>
          <w:spacing w:val="-6"/>
          <w:kern w:val="2"/>
          <w:sz w:val="32"/>
          <w:szCs w:val="32"/>
          <w:u w:val="none"/>
          <w:lang w:val="en-US" w:eastAsia="zh-CN" w:bidi="ar-SA"/>
        </w:rPr>
        <w:t>%。</w:t>
      </w:r>
    </w:p>
    <w:p w14:paraId="584F948B">
      <w:pPr>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spacing w:beforeLines="0" w:line="240" w:lineRule="auto"/>
        <w:ind w:firstLine="632"/>
        <w:jc w:val="left"/>
        <w:textAlignment w:val="auto"/>
        <w:rPr>
          <w:rFonts w:hint="default" w:ascii="Times New Roman" w:hAnsi="Times New Roman" w:eastAsia="楷体_GB2312" w:cs="Times New Roman"/>
          <w:color w:val="0C0C0C"/>
          <w:kern w:val="0"/>
          <w:sz w:val="32"/>
          <w:szCs w:val="32"/>
          <w:highlight w:val="none"/>
          <w:lang w:val="en-US" w:eastAsia="zh-CN" w:bidi="ar"/>
        </w:rPr>
      </w:pPr>
      <w:r>
        <w:rPr>
          <w:rFonts w:hint="default" w:ascii="Times New Roman" w:hAnsi="Times New Roman" w:eastAsia="楷体_GB2312" w:cs="Times New Roman"/>
          <w:color w:val="0C0C0C"/>
          <w:spacing w:val="0"/>
          <w:kern w:val="0"/>
          <w:sz w:val="32"/>
          <w:szCs w:val="32"/>
          <w:highlight w:val="none"/>
          <w:u w:val="none"/>
          <w:lang w:val="en-US" w:eastAsia="zh-CN" w:bidi="ar"/>
        </w:rPr>
        <w:t>（二）主要经济指标</w:t>
      </w:r>
    </w:p>
    <w:p w14:paraId="7FCAAC4F">
      <w:pPr>
        <w:pStyle w:val="7"/>
        <w:keepNext w:val="0"/>
        <w:keepLines w:val="0"/>
        <w:pageBreakBefore w:val="0"/>
        <w:kinsoku/>
        <w:wordWrap/>
        <w:overflowPunct/>
        <w:topLinePunct w:val="0"/>
        <w:autoSpaceDE/>
        <w:autoSpaceDN/>
        <w:bidi w:val="0"/>
        <w:adjustRightInd/>
        <w:snapToGrid/>
        <w:spacing w:line="240" w:lineRule="auto"/>
        <w:ind w:firstLine="632"/>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2023年末，卫生和社会工作企业法人单位资产总计</w:t>
      </w:r>
      <w:r>
        <w:rPr>
          <w:rFonts w:hint="default" w:ascii="Times New Roman" w:hAnsi="Times New Roman" w:eastAsia="仿宋_GB2312" w:cs="Times New Roman"/>
          <w:color w:val="0C0C0C"/>
          <w:sz w:val="32"/>
          <w:szCs w:val="32"/>
          <w:u w:val="none"/>
          <w:lang w:val="en-US" w:eastAsia="zh-CN"/>
        </w:rPr>
        <w:t>22.54</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262.4</w:t>
      </w:r>
      <w:r>
        <w:rPr>
          <w:rFonts w:hint="default" w:ascii="Times New Roman" w:hAnsi="Times New Roman" w:eastAsia="仿宋_GB2312" w:cs="Times New Roman"/>
          <w:color w:val="0C0C0C"/>
          <w:spacing w:val="-6"/>
          <w:kern w:val="2"/>
          <w:sz w:val="32"/>
          <w:szCs w:val="32"/>
          <w:u w:val="none"/>
          <w:lang w:val="en-US" w:eastAsia="zh-CN" w:bidi="ar-SA"/>
        </w:rPr>
        <w:t>%；负债合计</w:t>
      </w:r>
      <w:r>
        <w:rPr>
          <w:rFonts w:hint="default" w:ascii="Times New Roman" w:hAnsi="Times New Roman" w:eastAsia="仿宋_GB2312" w:cs="Times New Roman"/>
          <w:color w:val="0C0C0C"/>
          <w:sz w:val="32"/>
          <w:szCs w:val="32"/>
          <w:u w:val="none"/>
          <w:lang w:val="en-US" w:eastAsia="zh-CN"/>
        </w:rPr>
        <w:t>0.81</w:t>
      </w:r>
      <w:r>
        <w:rPr>
          <w:rFonts w:hint="default" w:ascii="Times New Roman" w:hAnsi="Times New Roman" w:eastAsia="仿宋_GB2312" w:cs="Times New Roman"/>
          <w:color w:val="0C0C0C"/>
          <w:spacing w:val="-6"/>
          <w:kern w:val="2"/>
          <w:sz w:val="32"/>
          <w:szCs w:val="32"/>
          <w:u w:val="none"/>
          <w:lang w:val="en-US" w:eastAsia="zh-CN" w:bidi="ar-SA"/>
        </w:rPr>
        <w:t>亿元，比2018年末下降78.3%。全年实现营业收入</w:t>
      </w:r>
      <w:r>
        <w:rPr>
          <w:rFonts w:hint="default" w:ascii="Times New Roman" w:hAnsi="Times New Roman" w:eastAsia="仿宋_GB2312" w:cs="Times New Roman"/>
          <w:color w:val="0C0C0C"/>
          <w:sz w:val="32"/>
          <w:szCs w:val="32"/>
          <w:u w:val="none"/>
          <w:lang w:val="en-US" w:eastAsia="zh-CN"/>
        </w:rPr>
        <w:t>4.65</w:t>
      </w:r>
      <w:r>
        <w:rPr>
          <w:rFonts w:hint="default" w:ascii="Times New Roman" w:hAnsi="Times New Roman" w:eastAsia="仿宋_GB2312" w:cs="Times New Roman"/>
          <w:color w:val="0C0C0C"/>
          <w:spacing w:val="-6"/>
          <w:kern w:val="2"/>
          <w:sz w:val="32"/>
          <w:szCs w:val="32"/>
          <w:u w:val="none"/>
          <w:lang w:val="en-US" w:eastAsia="zh-CN" w:bidi="ar-SA"/>
        </w:rPr>
        <w:t>亿元，比2018年增长</w:t>
      </w:r>
      <w:r>
        <w:rPr>
          <w:rFonts w:hint="default" w:ascii="Times New Roman" w:hAnsi="Times New Roman" w:eastAsia="仿宋_GB2312" w:cs="Times New Roman"/>
          <w:color w:val="0C0C0C"/>
          <w:sz w:val="32"/>
          <w:szCs w:val="32"/>
          <w:u w:val="none"/>
          <w:lang w:val="en-US" w:eastAsia="zh-CN"/>
        </w:rPr>
        <w:t>70.8</w:t>
      </w:r>
      <w:r>
        <w:rPr>
          <w:rFonts w:hint="default" w:ascii="Times New Roman" w:hAnsi="Times New Roman" w:eastAsia="仿宋_GB2312" w:cs="Times New Roman"/>
          <w:color w:val="0C0C0C"/>
          <w:spacing w:val="-6"/>
          <w:kern w:val="2"/>
          <w:sz w:val="32"/>
          <w:szCs w:val="32"/>
          <w:u w:val="none"/>
          <w:lang w:val="en-US" w:eastAsia="zh-CN" w:bidi="ar-SA"/>
        </w:rPr>
        <w:t>%。</w:t>
      </w:r>
    </w:p>
    <w:p w14:paraId="1CE15EAE">
      <w:pPr>
        <w:pStyle w:val="7"/>
        <w:keepNext w:val="0"/>
        <w:keepLines w:val="0"/>
        <w:pageBreakBefore w:val="0"/>
        <w:kinsoku/>
        <w:wordWrap/>
        <w:overflowPunct/>
        <w:topLinePunct w:val="0"/>
        <w:autoSpaceDE/>
        <w:autoSpaceDN/>
        <w:bidi w:val="0"/>
        <w:adjustRightInd/>
        <w:snapToGrid/>
        <w:spacing w:line="240" w:lineRule="auto"/>
        <w:ind w:firstLine="632"/>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行政事业及非企业法人单位年末资产</w:t>
      </w:r>
      <w:r>
        <w:rPr>
          <w:rFonts w:hint="default" w:ascii="Times New Roman" w:hAnsi="Times New Roman" w:eastAsia="仿宋_GB2312" w:cs="Times New Roman"/>
          <w:color w:val="0C0C0C"/>
          <w:sz w:val="32"/>
          <w:szCs w:val="32"/>
          <w:u w:val="none"/>
          <w:lang w:val="en-US" w:eastAsia="zh-CN"/>
        </w:rPr>
        <w:t>21.</w:t>
      </w:r>
      <w:r>
        <w:rPr>
          <w:rFonts w:hint="default" w:eastAsia="仿宋_GB2312" w:cs="Times New Roman"/>
          <w:color w:val="0C0C0C"/>
          <w:sz w:val="32"/>
          <w:szCs w:val="32"/>
          <w:u w:val="none"/>
          <w:lang w:val="en-US" w:eastAsia="zh-CN"/>
        </w:rPr>
        <w:t>38</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30.2</w:t>
      </w:r>
      <w:r>
        <w:rPr>
          <w:rFonts w:hint="default" w:ascii="Times New Roman" w:hAnsi="Times New Roman" w:eastAsia="仿宋_GB2312" w:cs="Times New Roman"/>
          <w:color w:val="0C0C0C"/>
          <w:spacing w:val="-6"/>
          <w:kern w:val="2"/>
          <w:sz w:val="32"/>
          <w:szCs w:val="32"/>
          <w:u w:val="none"/>
          <w:lang w:val="en-US" w:eastAsia="zh-CN" w:bidi="ar-SA"/>
        </w:rPr>
        <w:t>%。本年支出（费用）合计</w:t>
      </w:r>
      <w:r>
        <w:rPr>
          <w:rFonts w:hint="default" w:ascii="Times New Roman" w:hAnsi="Times New Roman" w:eastAsia="仿宋_GB2312" w:cs="Times New Roman"/>
          <w:color w:val="0C0C0C"/>
          <w:sz w:val="32"/>
          <w:szCs w:val="32"/>
          <w:u w:val="none"/>
          <w:lang w:val="en-US" w:eastAsia="zh-CN"/>
        </w:rPr>
        <w:t>18.0</w:t>
      </w:r>
      <w:r>
        <w:rPr>
          <w:rFonts w:hint="default" w:eastAsia="仿宋_GB2312" w:cs="Times New Roman"/>
          <w:color w:val="0C0C0C"/>
          <w:sz w:val="32"/>
          <w:szCs w:val="32"/>
          <w:u w:val="none"/>
          <w:lang w:val="en-US" w:eastAsia="zh-CN"/>
        </w:rPr>
        <w:t>1</w:t>
      </w:r>
      <w:r>
        <w:rPr>
          <w:rFonts w:hint="default" w:ascii="Times New Roman" w:hAnsi="Times New Roman" w:eastAsia="仿宋_GB2312" w:cs="Times New Roman"/>
          <w:color w:val="0C0C0C"/>
          <w:spacing w:val="-6"/>
          <w:kern w:val="2"/>
          <w:sz w:val="32"/>
          <w:szCs w:val="32"/>
          <w:u w:val="none"/>
          <w:lang w:val="en-US" w:eastAsia="zh-CN" w:bidi="ar-SA"/>
        </w:rPr>
        <w:t>亿元，比2018年增长</w:t>
      </w:r>
      <w:r>
        <w:rPr>
          <w:rFonts w:hint="default" w:ascii="Times New Roman" w:hAnsi="Times New Roman" w:eastAsia="仿宋_GB2312" w:cs="Times New Roman"/>
          <w:color w:val="0C0C0C"/>
          <w:sz w:val="32"/>
          <w:szCs w:val="32"/>
          <w:u w:val="none"/>
          <w:lang w:val="en-US" w:eastAsia="zh-CN"/>
        </w:rPr>
        <w:t>67.</w:t>
      </w:r>
      <w:r>
        <w:rPr>
          <w:rFonts w:hint="default" w:eastAsia="仿宋_GB2312" w:cs="Times New Roman"/>
          <w:color w:val="0C0C0C"/>
          <w:sz w:val="32"/>
          <w:szCs w:val="32"/>
          <w:u w:val="none"/>
          <w:lang w:val="en-US" w:eastAsia="zh-CN"/>
        </w:rPr>
        <w:t>1</w:t>
      </w:r>
      <w:r>
        <w:rPr>
          <w:rFonts w:hint="default" w:ascii="Times New Roman" w:hAnsi="Times New Roman" w:eastAsia="仿宋_GB2312" w:cs="Times New Roman"/>
          <w:color w:val="0C0C0C"/>
          <w:spacing w:val="-6"/>
          <w:kern w:val="2"/>
          <w:sz w:val="32"/>
          <w:szCs w:val="32"/>
          <w:u w:val="none"/>
          <w:lang w:val="en-US" w:eastAsia="zh-CN" w:bidi="ar-SA"/>
        </w:rPr>
        <w:t>%。</w:t>
      </w:r>
    </w:p>
    <w:p w14:paraId="17E491B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32"/>
        <w:jc w:val="both"/>
        <w:textAlignment w:val="auto"/>
        <w:rPr>
          <w:rFonts w:hint="default" w:ascii="Times New Roman" w:hAnsi="Times New Roman" w:eastAsia="仿宋_GB2312" w:cs="Times New Roman"/>
          <w:i w:val="0"/>
          <w:caps w:val="0"/>
          <w:color w:val="0C0C0C"/>
          <w:spacing w:val="0"/>
          <w:sz w:val="32"/>
          <w:szCs w:val="32"/>
          <w:highlight w:val="none"/>
        </w:rPr>
      </w:pPr>
      <w:r>
        <w:rPr>
          <w:rFonts w:hint="default" w:ascii="Times New Roman" w:hAnsi="Times New Roman" w:eastAsia="黑体" w:cs="Times New Roman"/>
          <w:b w:val="0"/>
          <w:bCs/>
          <w:i w:val="0"/>
          <w:caps w:val="0"/>
          <w:color w:val="0C0C0C"/>
          <w:spacing w:val="0"/>
          <w:kern w:val="0"/>
          <w:sz w:val="32"/>
          <w:szCs w:val="32"/>
          <w:highlight w:val="none"/>
          <w:lang w:val="en-US" w:eastAsia="zh-CN" w:bidi="ar"/>
        </w:rPr>
        <w:t>六、文化、体育和娱乐业</w:t>
      </w:r>
    </w:p>
    <w:p w14:paraId="4D6AB81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Autospacing="0" w:line="240" w:lineRule="auto"/>
        <w:ind w:left="0" w:right="0" w:firstLine="632"/>
        <w:jc w:val="left"/>
        <w:textAlignment w:val="auto"/>
        <w:rPr>
          <w:rFonts w:hint="default" w:ascii="Times New Roman" w:hAnsi="Times New Roman" w:eastAsia="楷体_GB2312" w:cs="Times New Roman"/>
          <w:i w:val="0"/>
          <w:caps w:val="0"/>
          <w:color w:val="0C0C0C"/>
          <w:spacing w:val="0"/>
          <w:kern w:val="0"/>
          <w:sz w:val="32"/>
          <w:szCs w:val="32"/>
          <w:highlight w:val="none"/>
          <w:lang w:bidi="ar"/>
        </w:rPr>
      </w:pPr>
      <w:r>
        <w:rPr>
          <w:rFonts w:hint="default" w:ascii="Times New Roman" w:hAnsi="Times New Roman" w:eastAsia="楷体_GB2312" w:cs="Times New Roman"/>
          <w:i w:val="0"/>
          <w:caps w:val="0"/>
          <w:color w:val="0C0C0C"/>
          <w:spacing w:val="0"/>
          <w:kern w:val="0"/>
          <w:sz w:val="32"/>
          <w:szCs w:val="32"/>
          <w:highlight w:val="none"/>
          <w:lang w:val="en-US" w:eastAsia="zh-CN" w:bidi="ar"/>
        </w:rPr>
        <w:t>（一）法人单位数和从业人员</w:t>
      </w:r>
    </w:p>
    <w:p w14:paraId="434D0A1B">
      <w:pPr>
        <w:pStyle w:val="7"/>
        <w:keepNext w:val="0"/>
        <w:keepLines w:val="0"/>
        <w:pageBreakBefore w:val="0"/>
        <w:kinsoku/>
        <w:wordWrap/>
        <w:overflowPunct/>
        <w:topLinePunct w:val="0"/>
        <w:autoSpaceDE/>
        <w:autoSpaceDN/>
        <w:bidi w:val="0"/>
        <w:adjustRightInd/>
        <w:snapToGrid/>
        <w:spacing w:line="240" w:lineRule="auto"/>
        <w:ind w:firstLine="632"/>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2023年末，全市共有文化、体育和娱乐业法人单位</w:t>
      </w:r>
      <w:r>
        <w:rPr>
          <w:rFonts w:hint="default" w:ascii="Times New Roman" w:hAnsi="Times New Roman" w:eastAsia="仿宋_GB2312" w:cs="Times New Roman"/>
          <w:color w:val="0C0C0C"/>
          <w:sz w:val="32"/>
          <w:szCs w:val="32"/>
          <w:u w:val="none"/>
          <w:lang w:val="en-US" w:eastAsia="zh-CN"/>
        </w:rPr>
        <w:t>702</w:t>
      </w:r>
      <w:r>
        <w:rPr>
          <w:rFonts w:hint="default" w:ascii="Times New Roman" w:hAnsi="Times New Roman" w:eastAsia="仿宋_GB2312" w:cs="Times New Roman"/>
          <w:color w:val="0C0C0C"/>
          <w:spacing w:val="-6"/>
          <w:kern w:val="2"/>
          <w:sz w:val="32"/>
          <w:szCs w:val="32"/>
          <w:u w:val="none"/>
          <w:lang w:val="en-US" w:eastAsia="zh-CN" w:bidi="ar-SA"/>
        </w:rPr>
        <w:t>个，从业人员</w:t>
      </w:r>
      <w:r>
        <w:rPr>
          <w:rFonts w:hint="default" w:ascii="Times New Roman" w:hAnsi="Times New Roman" w:eastAsia="仿宋_GB2312" w:cs="Times New Roman"/>
          <w:color w:val="0C0C0C"/>
          <w:sz w:val="32"/>
          <w:szCs w:val="32"/>
          <w:u w:val="none"/>
          <w:lang w:val="en-US" w:eastAsia="zh-CN"/>
        </w:rPr>
        <w:t>4747</w:t>
      </w:r>
      <w:r>
        <w:rPr>
          <w:rFonts w:hint="default" w:ascii="Times New Roman" w:hAnsi="Times New Roman" w:eastAsia="仿宋_GB2312" w:cs="Times New Roman"/>
          <w:color w:val="0C0C0C"/>
          <w:spacing w:val="-6"/>
          <w:kern w:val="2"/>
          <w:sz w:val="32"/>
          <w:szCs w:val="32"/>
          <w:u w:val="none"/>
          <w:lang w:val="en-US" w:eastAsia="zh-CN" w:bidi="ar-SA"/>
        </w:rPr>
        <w:t>人，分别比2018年末增长</w:t>
      </w:r>
      <w:r>
        <w:rPr>
          <w:rFonts w:hint="default" w:ascii="Times New Roman" w:hAnsi="Times New Roman" w:eastAsia="仿宋_GB2312" w:cs="Times New Roman"/>
          <w:color w:val="0C0C0C"/>
          <w:sz w:val="32"/>
          <w:szCs w:val="32"/>
          <w:u w:val="none"/>
          <w:lang w:val="en-US" w:eastAsia="zh-CN"/>
        </w:rPr>
        <w:t>70.0</w:t>
      </w:r>
      <w:r>
        <w:rPr>
          <w:rFonts w:hint="default" w:ascii="Times New Roman" w:hAnsi="Times New Roman" w:eastAsia="仿宋_GB2312" w:cs="Times New Roman"/>
          <w:color w:val="0C0C0C"/>
          <w:spacing w:val="-6"/>
          <w:kern w:val="2"/>
          <w:sz w:val="32"/>
          <w:szCs w:val="32"/>
          <w:u w:val="none"/>
          <w:lang w:val="en-US" w:eastAsia="zh-CN" w:bidi="ar-SA"/>
        </w:rPr>
        <w:t>%和19.8%。其中，企业法人单位</w:t>
      </w:r>
      <w:r>
        <w:rPr>
          <w:rFonts w:hint="default" w:ascii="Times New Roman" w:hAnsi="Times New Roman" w:eastAsia="仿宋_GB2312" w:cs="Times New Roman"/>
          <w:color w:val="0C0C0C"/>
          <w:sz w:val="32"/>
          <w:szCs w:val="32"/>
          <w:u w:val="none"/>
          <w:lang w:val="en-US" w:eastAsia="zh-CN"/>
        </w:rPr>
        <w:t>676</w:t>
      </w:r>
      <w:r>
        <w:rPr>
          <w:rFonts w:hint="default" w:ascii="Times New Roman" w:hAnsi="Times New Roman" w:eastAsia="仿宋_GB2312" w:cs="Times New Roman"/>
          <w:color w:val="0C0C0C"/>
          <w:spacing w:val="-6"/>
          <w:kern w:val="2"/>
          <w:sz w:val="32"/>
          <w:szCs w:val="32"/>
          <w:u w:val="none"/>
          <w:lang w:val="en-US" w:eastAsia="zh-CN" w:bidi="ar-SA"/>
        </w:rPr>
        <w:t>个，从业人员</w:t>
      </w:r>
      <w:r>
        <w:rPr>
          <w:rFonts w:hint="default" w:ascii="Times New Roman" w:hAnsi="Times New Roman" w:eastAsia="仿宋_GB2312" w:cs="Times New Roman"/>
          <w:color w:val="0C0C0C"/>
          <w:sz w:val="32"/>
          <w:szCs w:val="32"/>
          <w:u w:val="none"/>
          <w:lang w:val="en-US" w:eastAsia="zh-CN"/>
        </w:rPr>
        <w:t>4555</w:t>
      </w:r>
      <w:r>
        <w:rPr>
          <w:rFonts w:hint="default" w:ascii="Times New Roman" w:hAnsi="Times New Roman" w:eastAsia="仿宋_GB2312" w:cs="Times New Roman"/>
          <w:color w:val="0C0C0C"/>
          <w:spacing w:val="-6"/>
          <w:kern w:val="2"/>
          <w:sz w:val="32"/>
          <w:szCs w:val="32"/>
          <w:u w:val="none"/>
          <w:lang w:val="en-US" w:eastAsia="zh-CN" w:bidi="ar-SA"/>
        </w:rPr>
        <w:t>人，分别比2018年末增长</w:t>
      </w:r>
      <w:r>
        <w:rPr>
          <w:rFonts w:hint="default" w:ascii="Times New Roman" w:hAnsi="Times New Roman" w:eastAsia="仿宋_GB2312" w:cs="Times New Roman"/>
          <w:color w:val="0C0C0C"/>
          <w:sz w:val="32"/>
          <w:szCs w:val="32"/>
          <w:u w:val="none"/>
          <w:lang w:val="en-US" w:eastAsia="zh-CN"/>
        </w:rPr>
        <w:t>119.5</w:t>
      </w:r>
      <w:r>
        <w:rPr>
          <w:rFonts w:hint="default" w:ascii="Times New Roman" w:hAnsi="Times New Roman" w:eastAsia="仿宋_GB2312" w:cs="Times New Roman"/>
          <w:color w:val="0C0C0C"/>
          <w:spacing w:val="-6"/>
          <w:kern w:val="2"/>
          <w:sz w:val="32"/>
          <w:szCs w:val="32"/>
          <w:u w:val="none"/>
          <w:lang w:val="en-US" w:eastAsia="zh-CN" w:bidi="ar-SA"/>
        </w:rPr>
        <w:t>%和</w:t>
      </w:r>
      <w:r>
        <w:rPr>
          <w:rFonts w:hint="default" w:ascii="Times New Roman" w:hAnsi="Times New Roman" w:eastAsia="仿宋_GB2312" w:cs="Times New Roman"/>
          <w:color w:val="0C0C0C"/>
          <w:sz w:val="32"/>
          <w:szCs w:val="32"/>
          <w:u w:val="none"/>
          <w:lang w:val="en-US" w:eastAsia="zh-CN"/>
        </w:rPr>
        <w:t>39.8</w:t>
      </w:r>
      <w:r>
        <w:rPr>
          <w:rFonts w:hint="default" w:ascii="Times New Roman" w:hAnsi="Times New Roman" w:eastAsia="仿宋_GB2312" w:cs="Times New Roman"/>
          <w:color w:val="0C0C0C"/>
          <w:spacing w:val="-6"/>
          <w:kern w:val="2"/>
          <w:sz w:val="32"/>
          <w:szCs w:val="32"/>
          <w:u w:val="none"/>
          <w:lang w:val="en-US" w:eastAsia="zh-CN" w:bidi="ar-SA"/>
        </w:rPr>
        <w:t>%。</w:t>
      </w:r>
    </w:p>
    <w:p w14:paraId="0C8A4122">
      <w:pPr>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spacing w:beforeLines="0" w:line="240" w:lineRule="auto"/>
        <w:ind w:firstLine="632"/>
        <w:jc w:val="left"/>
        <w:textAlignment w:val="auto"/>
        <w:rPr>
          <w:rFonts w:hint="default" w:ascii="Times New Roman" w:hAnsi="Times New Roman" w:eastAsia="楷体_GB2312" w:cs="Times New Roman"/>
          <w:color w:val="0C0C0C"/>
          <w:kern w:val="0"/>
          <w:sz w:val="32"/>
          <w:szCs w:val="32"/>
          <w:highlight w:val="none"/>
          <w:lang w:val="en-US" w:eastAsia="zh-CN" w:bidi="ar"/>
        </w:rPr>
      </w:pPr>
      <w:r>
        <w:rPr>
          <w:rFonts w:hint="default" w:ascii="Times New Roman" w:hAnsi="Times New Roman" w:eastAsia="楷体_GB2312" w:cs="Times New Roman"/>
          <w:color w:val="0C0C0C"/>
          <w:spacing w:val="0"/>
          <w:kern w:val="0"/>
          <w:sz w:val="32"/>
          <w:szCs w:val="32"/>
          <w:highlight w:val="none"/>
          <w:u w:val="none"/>
          <w:lang w:val="en-US" w:eastAsia="zh-CN" w:bidi="ar"/>
        </w:rPr>
        <w:t>（二）主要经济指标</w:t>
      </w:r>
    </w:p>
    <w:p w14:paraId="74D07D79">
      <w:pPr>
        <w:pStyle w:val="7"/>
        <w:keepNext w:val="0"/>
        <w:keepLines w:val="0"/>
        <w:pageBreakBefore w:val="0"/>
        <w:kinsoku/>
        <w:wordWrap/>
        <w:overflowPunct/>
        <w:topLinePunct w:val="0"/>
        <w:autoSpaceDE/>
        <w:autoSpaceDN/>
        <w:bidi w:val="0"/>
        <w:adjustRightInd/>
        <w:snapToGrid/>
        <w:spacing w:line="240" w:lineRule="auto"/>
        <w:ind w:firstLine="632"/>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2023年末，文化、体育和娱乐业企业法人单位资产总计</w:t>
      </w:r>
      <w:r>
        <w:rPr>
          <w:rFonts w:hint="default" w:ascii="Times New Roman" w:hAnsi="Times New Roman" w:eastAsia="仿宋_GB2312" w:cs="Times New Roman"/>
          <w:color w:val="0C0C0C"/>
          <w:sz w:val="32"/>
          <w:szCs w:val="32"/>
          <w:u w:val="none"/>
          <w:lang w:val="en-US" w:eastAsia="zh-CN"/>
        </w:rPr>
        <w:t>21.15</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155.2</w:t>
      </w:r>
      <w:r>
        <w:rPr>
          <w:rFonts w:hint="default" w:ascii="Times New Roman" w:hAnsi="Times New Roman" w:eastAsia="仿宋_GB2312" w:cs="Times New Roman"/>
          <w:color w:val="0C0C0C"/>
          <w:spacing w:val="-6"/>
          <w:kern w:val="2"/>
          <w:sz w:val="32"/>
          <w:szCs w:val="32"/>
          <w:u w:val="none"/>
          <w:lang w:val="en-US" w:eastAsia="zh-CN" w:bidi="ar-SA"/>
        </w:rPr>
        <w:t>%；负债合计</w:t>
      </w:r>
      <w:r>
        <w:rPr>
          <w:rFonts w:hint="default" w:ascii="Times New Roman" w:hAnsi="Times New Roman" w:eastAsia="仿宋_GB2312" w:cs="Times New Roman"/>
          <w:color w:val="0C0C0C"/>
          <w:sz w:val="32"/>
          <w:szCs w:val="32"/>
          <w:u w:val="none"/>
          <w:lang w:val="en-US" w:eastAsia="zh-CN"/>
        </w:rPr>
        <w:t>5.24</w:t>
      </w:r>
      <w:r>
        <w:rPr>
          <w:rFonts w:hint="default" w:ascii="Times New Roman" w:hAnsi="Times New Roman" w:eastAsia="仿宋_GB2312" w:cs="Times New Roman"/>
          <w:color w:val="0C0C0C"/>
          <w:spacing w:val="-6"/>
          <w:kern w:val="2"/>
          <w:sz w:val="32"/>
          <w:szCs w:val="32"/>
          <w:u w:val="none"/>
          <w:lang w:val="en-US" w:eastAsia="zh-CN" w:bidi="ar-SA"/>
        </w:rPr>
        <w:t>亿元，比2018年末增长</w:t>
      </w:r>
      <w:r>
        <w:rPr>
          <w:rFonts w:hint="default" w:ascii="Times New Roman" w:hAnsi="Times New Roman" w:eastAsia="仿宋_GB2312" w:cs="Times New Roman"/>
          <w:color w:val="0C0C0C"/>
          <w:sz w:val="32"/>
          <w:szCs w:val="32"/>
          <w:u w:val="none"/>
          <w:lang w:val="en-US" w:eastAsia="zh-CN"/>
        </w:rPr>
        <w:t>223.2</w:t>
      </w:r>
      <w:r>
        <w:rPr>
          <w:rFonts w:hint="default" w:ascii="Times New Roman" w:hAnsi="Times New Roman" w:eastAsia="仿宋_GB2312" w:cs="Times New Roman"/>
          <w:color w:val="0C0C0C"/>
          <w:spacing w:val="-6"/>
          <w:kern w:val="2"/>
          <w:sz w:val="32"/>
          <w:szCs w:val="32"/>
          <w:u w:val="none"/>
          <w:lang w:val="en-US" w:eastAsia="zh-CN" w:bidi="ar-SA"/>
        </w:rPr>
        <w:t>%。全年实现营业收入</w:t>
      </w:r>
      <w:r>
        <w:rPr>
          <w:rFonts w:hint="default" w:ascii="Times New Roman" w:hAnsi="Times New Roman" w:eastAsia="仿宋_GB2312" w:cs="Times New Roman"/>
          <w:color w:val="0C0C0C"/>
          <w:sz w:val="32"/>
          <w:szCs w:val="32"/>
          <w:u w:val="none"/>
          <w:lang w:val="en-US" w:eastAsia="zh-CN"/>
        </w:rPr>
        <w:t>23.30</w:t>
      </w:r>
      <w:r>
        <w:rPr>
          <w:rFonts w:hint="default" w:ascii="Times New Roman" w:hAnsi="Times New Roman" w:eastAsia="仿宋_GB2312" w:cs="Times New Roman"/>
          <w:color w:val="0C0C0C"/>
          <w:spacing w:val="-6"/>
          <w:kern w:val="2"/>
          <w:sz w:val="32"/>
          <w:szCs w:val="32"/>
          <w:u w:val="none"/>
          <w:lang w:val="en-US" w:eastAsia="zh-CN" w:bidi="ar-SA"/>
        </w:rPr>
        <w:t>亿元，比2018年增长</w:t>
      </w:r>
      <w:r>
        <w:rPr>
          <w:rFonts w:hint="default" w:ascii="Times New Roman" w:hAnsi="Times New Roman" w:eastAsia="仿宋_GB2312" w:cs="Times New Roman"/>
          <w:color w:val="0C0C0C"/>
          <w:sz w:val="32"/>
          <w:szCs w:val="32"/>
          <w:u w:val="none"/>
          <w:lang w:val="en-US" w:eastAsia="zh-CN"/>
        </w:rPr>
        <w:t>119.2</w:t>
      </w:r>
      <w:r>
        <w:rPr>
          <w:rFonts w:hint="default" w:ascii="Times New Roman" w:hAnsi="Times New Roman" w:eastAsia="仿宋_GB2312" w:cs="Times New Roman"/>
          <w:color w:val="0C0C0C"/>
          <w:spacing w:val="-6"/>
          <w:kern w:val="2"/>
          <w:sz w:val="32"/>
          <w:szCs w:val="32"/>
          <w:u w:val="none"/>
          <w:lang w:val="en-US" w:eastAsia="zh-CN" w:bidi="ar-SA"/>
        </w:rPr>
        <w:t>%。</w:t>
      </w:r>
    </w:p>
    <w:p w14:paraId="418FD70C">
      <w:pPr>
        <w:pStyle w:val="7"/>
        <w:keepNext w:val="0"/>
        <w:keepLines w:val="0"/>
        <w:pageBreakBefore w:val="0"/>
        <w:kinsoku/>
        <w:wordWrap/>
        <w:overflowPunct/>
        <w:topLinePunct w:val="0"/>
        <w:autoSpaceDE/>
        <w:autoSpaceDN/>
        <w:bidi w:val="0"/>
        <w:adjustRightInd/>
        <w:snapToGrid/>
        <w:spacing w:line="240" w:lineRule="auto"/>
        <w:ind w:firstLine="632"/>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行政事业及非企业法人单位年末资产</w:t>
      </w:r>
      <w:r>
        <w:rPr>
          <w:rFonts w:hint="default" w:ascii="Times New Roman" w:hAnsi="Times New Roman" w:eastAsia="仿宋_GB2312" w:cs="Times New Roman"/>
          <w:color w:val="0C0C0C"/>
          <w:sz w:val="32"/>
          <w:szCs w:val="32"/>
          <w:u w:val="none"/>
          <w:lang w:val="en-US" w:eastAsia="zh-CN"/>
        </w:rPr>
        <w:t>1.9</w:t>
      </w:r>
      <w:r>
        <w:rPr>
          <w:rFonts w:hint="default" w:eastAsia="仿宋_GB2312" w:cs="Times New Roman"/>
          <w:color w:val="0C0C0C"/>
          <w:sz w:val="32"/>
          <w:szCs w:val="32"/>
          <w:u w:val="none"/>
          <w:lang w:val="en-US" w:eastAsia="zh-CN"/>
        </w:rPr>
        <w:t>1</w:t>
      </w:r>
      <w:r>
        <w:rPr>
          <w:rFonts w:hint="default" w:ascii="Times New Roman" w:hAnsi="Times New Roman" w:eastAsia="仿宋_GB2312" w:cs="Times New Roman"/>
          <w:color w:val="0C0C0C"/>
          <w:spacing w:val="-6"/>
          <w:kern w:val="2"/>
          <w:sz w:val="32"/>
          <w:szCs w:val="32"/>
          <w:u w:val="none"/>
          <w:lang w:val="en-US" w:eastAsia="zh-CN" w:bidi="ar-SA"/>
        </w:rPr>
        <w:t>亿元，比2018年末下降</w:t>
      </w:r>
      <w:r>
        <w:rPr>
          <w:rFonts w:hint="default" w:ascii="Times New Roman" w:hAnsi="Times New Roman" w:eastAsia="仿宋_GB2312" w:cs="Times New Roman"/>
          <w:color w:val="0C0C0C"/>
          <w:sz w:val="32"/>
          <w:szCs w:val="32"/>
          <w:u w:val="none"/>
          <w:lang w:val="en-US" w:eastAsia="zh-CN"/>
        </w:rPr>
        <w:t>50.</w:t>
      </w:r>
      <w:r>
        <w:rPr>
          <w:rFonts w:hint="default" w:eastAsia="仿宋_GB2312" w:cs="Times New Roman"/>
          <w:color w:val="0C0C0C"/>
          <w:sz w:val="32"/>
          <w:szCs w:val="32"/>
          <w:u w:val="none"/>
          <w:lang w:val="en-US" w:eastAsia="zh-CN"/>
        </w:rPr>
        <w:t>8</w:t>
      </w:r>
      <w:r>
        <w:rPr>
          <w:rFonts w:hint="default" w:ascii="Times New Roman" w:hAnsi="Times New Roman" w:eastAsia="仿宋_GB2312" w:cs="Times New Roman"/>
          <w:color w:val="0C0C0C"/>
          <w:spacing w:val="-6"/>
          <w:kern w:val="2"/>
          <w:sz w:val="32"/>
          <w:szCs w:val="32"/>
          <w:u w:val="none"/>
          <w:lang w:val="en-US" w:eastAsia="zh-CN" w:bidi="ar-SA"/>
        </w:rPr>
        <w:t>%。本年支出（费用）合计</w:t>
      </w:r>
      <w:r>
        <w:rPr>
          <w:rFonts w:hint="default" w:ascii="Times New Roman" w:hAnsi="Times New Roman" w:eastAsia="仿宋_GB2312" w:cs="Times New Roman"/>
          <w:color w:val="0C0C0C"/>
          <w:sz w:val="32"/>
          <w:szCs w:val="32"/>
          <w:u w:val="none"/>
          <w:lang w:val="en-US" w:eastAsia="zh-CN"/>
        </w:rPr>
        <w:t>0.4</w:t>
      </w:r>
      <w:r>
        <w:rPr>
          <w:rFonts w:hint="default" w:eastAsia="仿宋_GB2312" w:cs="Times New Roman"/>
          <w:color w:val="0C0C0C"/>
          <w:sz w:val="32"/>
          <w:szCs w:val="32"/>
          <w:u w:val="none"/>
          <w:lang w:val="en-US" w:eastAsia="zh-CN"/>
        </w:rPr>
        <w:t>2</w:t>
      </w:r>
      <w:r>
        <w:rPr>
          <w:rFonts w:hint="default" w:ascii="Times New Roman" w:hAnsi="Times New Roman" w:eastAsia="仿宋_GB2312" w:cs="Times New Roman"/>
          <w:color w:val="0C0C0C"/>
          <w:spacing w:val="-6"/>
          <w:kern w:val="2"/>
          <w:sz w:val="32"/>
          <w:szCs w:val="32"/>
          <w:u w:val="none"/>
          <w:lang w:val="en-US" w:eastAsia="zh-CN" w:bidi="ar-SA"/>
        </w:rPr>
        <w:t>亿元，比2018年下降</w:t>
      </w:r>
      <w:r>
        <w:rPr>
          <w:rFonts w:hint="default" w:eastAsia="仿宋_GB2312" w:cs="Times New Roman"/>
          <w:color w:val="0C0C0C"/>
          <w:sz w:val="32"/>
          <w:szCs w:val="32"/>
          <w:u w:val="none"/>
          <w:lang w:val="en-US" w:eastAsia="zh-CN"/>
        </w:rPr>
        <w:t>5.7</w:t>
      </w:r>
      <w:r>
        <w:rPr>
          <w:rFonts w:hint="default" w:ascii="Times New Roman" w:hAnsi="Times New Roman" w:eastAsia="仿宋_GB2312" w:cs="Times New Roman"/>
          <w:color w:val="0C0C0C"/>
          <w:spacing w:val="-6"/>
          <w:kern w:val="2"/>
          <w:sz w:val="32"/>
          <w:szCs w:val="32"/>
          <w:u w:val="none"/>
          <w:lang w:val="en-US" w:eastAsia="zh-CN" w:bidi="ar-SA"/>
        </w:rPr>
        <w:t>%。</w:t>
      </w:r>
    </w:p>
    <w:p w14:paraId="012B4D5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32"/>
        <w:jc w:val="both"/>
        <w:textAlignment w:val="auto"/>
        <w:rPr>
          <w:rFonts w:hint="default" w:ascii="Times New Roman" w:hAnsi="Times New Roman" w:eastAsia="黑体" w:cs="Times New Roman"/>
          <w:b w:val="0"/>
          <w:bCs/>
          <w:i w:val="0"/>
          <w:caps w:val="0"/>
          <w:color w:val="0C0C0C"/>
          <w:spacing w:val="0"/>
          <w:sz w:val="32"/>
          <w:szCs w:val="32"/>
          <w:highlight w:val="none"/>
        </w:rPr>
      </w:pPr>
      <w:r>
        <w:rPr>
          <w:rFonts w:hint="default" w:ascii="Times New Roman" w:hAnsi="Times New Roman" w:eastAsia="黑体" w:cs="Times New Roman"/>
          <w:b w:val="0"/>
          <w:bCs/>
          <w:i w:val="0"/>
          <w:caps w:val="0"/>
          <w:color w:val="0C0C0C"/>
          <w:spacing w:val="0"/>
          <w:kern w:val="0"/>
          <w:sz w:val="32"/>
          <w:szCs w:val="32"/>
          <w:highlight w:val="none"/>
          <w:lang w:val="en-US" w:eastAsia="zh-CN" w:bidi="ar"/>
        </w:rPr>
        <w:t>七、公共管理、社会保障和社会组织</w:t>
      </w:r>
    </w:p>
    <w:p w14:paraId="1E04D0AB">
      <w:pPr>
        <w:pStyle w:val="7"/>
        <w:keepNext w:val="0"/>
        <w:keepLines w:val="0"/>
        <w:pageBreakBefore w:val="0"/>
        <w:kinsoku/>
        <w:wordWrap/>
        <w:overflowPunct/>
        <w:topLinePunct w:val="0"/>
        <w:autoSpaceDE/>
        <w:autoSpaceDN/>
        <w:bidi w:val="0"/>
        <w:adjustRightInd/>
        <w:snapToGrid/>
        <w:spacing w:line="240" w:lineRule="auto"/>
        <w:ind w:firstLine="632"/>
        <w:rPr>
          <w:rFonts w:hint="default" w:ascii="Times New Roman" w:hAnsi="Times New Roman" w:eastAsia="仿宋_GB2312" w:cs="Times New Roman"/>
          <w:color w:val="0C0C0C"/>
          <w:spacing w:val="-6"/>
          <w:kern w:val="2"/>
          <w:sz w:val="32"/>
          <w:szCs w:val="32"/>
          <w:u w:val="none"/>
          <w:lang w:val="en-US" w:eastAsia="zh-CN" w:bidi="ar-SA"/>
        </w:rPr>
      </w:pPr>
      <w:r>
        <w:rPr>
          <w:rFonts w:hint="default" w:ascii="Times New Roman" w:hAnsi="Times New Roman" w:eastAsia="仿宋_GB2312" w:cs="Times New Roman"/>
          <w:color w:val="0C0C0C"/>
          <w:spacing w:val="-6"/>
          <w:kern w:val="2"/>
          <w:sz w:val="32"/>
          <w:szCs w:val="32"/>
          <w:u w:val="none"/>
          <w:lang w:val="en-US" w:eastAsia="zh-CN" w:bidi="ar-SA"/>
        </w:rPr>
        <w:t>2023年末，全市共有公共管理、社会保障和社会组织法人单位</w:t>
      </w:r>
      <w:r>
        <w:rPr>
          <w:rFonts w:hint="default" w:ascii="Times New Roman" w:hAnsi="Times New Roman" w:eastAsia="仿宋_GB2312" w:cs="Times New Roman"/>
          <w:color w:val="0C0C0C"/>
          <w:sz w:val="32"/>
          <w:szCs w:val="32"/>
          <w:u w:val="none"/>
          <w:lang w:val="en-US" w:eastAsia="zh-CN"/>
        </w:rPr>
        <w:t>954</w:t>
      </w:r>
      <w:r>
        <w:rPr>
          <w:rFonts w:hint="default" w:ascii="Times New Roman" w:hAnsi="Times New Roman" w:eastAsia="仿宋_GB2312" w:cs="Times New Roman"/>
          <w:color w:val="0C0C0C"/>
          <w:spacing w:val="-6"/>
          <w:kern w:val="2"/>
          <w:sz w:val="32"/>
          <w:szCs w:val="32"/>
          <w:u w:val="none"/>
          <w:lang w:val="en-US" w:eastAsia="zh-CN" w:bidi="ar-SA"/>
        </w:rPr>
        <w:t>个，比2018年末下降</w:t>
      </w:r>
      <w:r>
        <w:rPr>
          <w:rFonts w:hint="default" w:ascii="Times New Roman" w:hAnsi="Times New Roman" w:eastAsia="仿宋_GB2312" w:cs="Times New Roman"/>
          <w:color w:val="0C0C0C"/>
          <w:sz w:val="32"/>
          <w:szCs w:val="32"/>
          <w:u w:val="none"/>
          <w:lang w:val="en-US" w:eastAsia="zh-CN"/>
        </w:rPr>
        <w:t>31.5</w:t>
      </w:r>
      <w:r>
        <w:rPr>
          <w:rFonts w:hint="default" w:ascii="Times New Roman" w:hAnsi="Times New Roman" w:eastAsia="仿宋_GB2312" w:cs="Times New Roman"/>
          <w:color w:val="0C0C0C"/>
          <w:spacing w:val="-6"/>
          <w:kern w:val="2"/>
          <w:sz w:val="32"/>
          <w:szCs w:val="32"/>
          <w:u w:val="none"/>
          <w:lang w:val="en-US" w:eastAsia="zh-CN" w:bidi="ar-SA"/>
        </w:rPr>
        <w:t>%；从业人员</w:t>
      </w:r>
      <w:r>
        <w:rPr>
          <w:rFonts w:hint="default" w:ascii="Times New Roman" w:hAnsi="Times New Roman" w:eastAsia="仿宋_GB2312" w:cs="Times New Roman"/>
          <w:color w:val="0C0C0C"/>
          <w:sz w:val="32"/>
          <w:szCs w:val="32"/>
          <w:u w:val="none"/>
          <w:lang w:val="en-US" w:eastAsia="zh-CN"/>
        </w:rPr>
        <w:t>13639</w:t>
      </w:r>
      <w:r>
        <w:rPr>
          <w:rFonts w:hint="default" w:ascii="Times New Roman" w:hAnsi="Times New Roman" w:eastAsia="仿宋_GB2312" w:cs="Times New Roman"/>
          <w:color w:val="0C0C0C"/>
          <w:spacing w:val="-6"/>
          <w:kern w:val="2"/>
          <w:sz w:val="32"/>
          <w:szCs w:val="32"/>
          <w:u w:val="none"/>
          <w:lang w:val="en-US" w:eastAsia="zh-CN" w:bidi="ar-SA"/>
        </w:rPr>
        <w:t>人，比2018年末下降</w:t>
      </w:r>
      <w:r>
        <w:rPr>
          <w:rFonts w:hint="default" w:ascii="Times New Roman" w:hAnsi="Times New Roman" w:eastAsia="仿宋_GB2312" w:cs="Times New Roman"/>
          <w:color w:val="0C0C0C"/>
          <w:sz w:val="32"/>
          <w:szCs w:val="32"/>
          <w:u w:val="none"/>
          <w:lang w:val="en-US" w:eastAsia="zh-CN"/>
        </w:rPr>
        <w:t>11.6</w:t>
      </w:r>
      <w:r>
        <w:rPr>
          <w:rFonts w:hint="default" w:ascii="Times New Roman" w:hAnsi="Times New Roman" w:eastAsia="仿宋_GB2312" w:cs="Times New Roman"/>
          <w:color w:val="0C0C0C"/>
          <w:spacing w:val="-6"/>
          <w:kern w:val="2"/>
          <w:sz w:val="32"/>
          <w:szCs w:val="32"/>
          <w:u w:val="none"/>
          <w:lang w:val="en-US" w:eastAsia="zh-CN" w:bidi="ar-SA"/>
        </w:rPr>
        <w:t>%。行政事业及非企业法人单位本年支出（费用）合计</w:t>
      </w:r>
      <w:r>
        <w:rPr>
          <w:rFonts w:hint="default" w:ascii="Times New Roman" w:hAnsi="Times New Roman" w:eastAsia="仿宋_GB2312" w:cs="Times New Roman"/>
          <w:color w:val="0C0C0C"/>
          <w:sz w:val="32"/>
          <w:szCs w:val="32"/>
          <w:u w:val="none"/>
          <w:lang w:val="en-US" w:eastAsia="zh-CN"/>
        </w:rPr>
        <w:t>85.</w:t>
      </w:r>
      <w:r>
        <w:rPr>
          <w:rFonts w:hint="default" w:eastAsia="仿宋_GB2312" w:cs="Times New Roman"/>
          <w:color w:val="0C0C0C"/>
          <w:sz w:val="32"/>
          <w:szCs w:val="32"/>
          <w:u w:val="none"/>
          <w:lang w:val="en-US" w:eastAsia="zh-CN"/>
        </w:rPr>
        <w:t>8</w:t>
      </w:r>
      <w:r>
        <w:rPr>
          <w:rFonts w:hint="default" w:ascii="Times New Roman" w:hAnsi="Times New Roman" w:eastAsia="仿宋_GB2312" w:cs="Times New Roman"/>
          <w:color w:val="0C0C0C"/>
          <w:sz w:val="32"/>
          <w:szCs w:val="32"/>
          <w:u w:val="none"/>
          <w:lang w:val="en-US" w:eastAsia="zh-CN"/>
        </w:rPr>
        <w:t>9</w:t>
      </w:r>
      <w:r>
        <w:rPr>
          <w:rFonts w:hint="default" w:ascii="Times New Roman" w:hAnsi="Times New Roman" w:eastAsia="仿宋_GB2312" w:cs="Times New Roman"/>
          <w:color w:val="0C0C0C"/>
          <w:spacing w:val="-6"/>
          <w:kern w:val="2"/>
          <w:sz w:val="32"/>
          <w:szCs w:val="32"/>
          <w:u w:val="none"/>
          <w:lang w:val="en-US" w:eastAsia="zh-CN" w:bidi="ar-SA"/>
        </w:rPr>
        <w:t>亿元，比2018年增长</w:t>
      </w:r>
      <w:r>
        <w:rPr>
          <w:rFonts w:hint="default" w:ascii="Times New Roman" w:hAnsi="Times New Roman" w:eastAsia="仿宋_GB2312" w:cs="Times New Roman"/>
          <w:color w:val="0C0C0C"/>
          <w:sz w:val="32"/>
          <w:szCs w:val="32"/>
          <w:u w:val="none"/>
          <w:lang w:val="en-US" w:eastAsia="zh-CN"/>
        </w:rPr>
        <w:t>108.3</w:t>
      </w:r>
      <w:r>
        <w:rPr>
          <w:rFonts w:hint="default" w:ascii="Times New Roman" w:hAnsi="Times New Roman" w:eastAsia="仿宋_GB2312" w:cs="Times New Roman"/>
          <w:color w:val="0C0C0C"/>
          <w:spacing w:val="-6"/>
          <w:kern w:val="2"/>
          <w:sz w:val="32"/>
          <w:szCs w:val="32"/>
          <w:u w:val="none"/>
          <w:lang w:val="en-US" w:eastAsia="zh-CN" w:bidi="ar-SA"/>
        </w:rPr>
        <w:t>%。</w:t>
      </w:r>
    </w:p>
    <w:p w14:paraId="1BA9A9CD">
      <w:pPr>
        <w:keepNext w:val="0"/>
        <w:keepLines w:val="0"/>
        <w:pageBreakBefore w:val="0"/>
        <w:kinsoku/>
        <w:wordWrap/>
        <w:overflowPunct/>
        <w:topLinePunct w:val="0"/>
        <w:autoSpaceDE/>
        <w:autoSpaceDN/>
        <w:bidi w:val="0"/>
        <w:adjustRightInd/>
        <w:snapToGrid/>
        <w:spacing w:line="560" w:lineRule="exact"/>
        <w:ind w:left="0" w:leftChars="0" w:firstLine="0" w:firstLineChars="0"/>
        <w:jc w:val="left"/>
        <w:rPr>
          <w:rFonts w:hint="default" w:eastAsia="方正仿宋_GBK" w:cs="Times New Roman"/>
          <w:b w:val="0"/>
          <w:bCs w:val="0"/>
          <w:i w:val="0"/>
          <w:caps w:val="0"/>
          <w:color w:val="0C0C0C"/>
          <w:spacing w:val="0"/>
          <w:kern w:val="2"/>
          <w:sz w:val="32"/>
          <w:szCs w:val="22"/>
          <w:highlight w:val="none"/>
          <w:lang w:val="en-US" w:eastAsia="zh-CN" w:bidi="ar"/>
        </w:rPr>
      </w:pPr>
    </w:p>
    <w:p w14:paraId="781D92DA">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ind w:left="0" w:leftChars="0" w:firstLine="552" w:firstLineChars="200"/>
        <w:jc w:val="both"/>
        <w:textAlignment w:val="auto"/>
        <w:rPr>
          <w:rFonts w:hint="default" w:ascii="Times New Roman" w:hAnsi="Times New Roman" w:eastAsia="黑体" w:cs="Times New Roman"/>
          <w:b w:val="0"/>
          <w:bCs/>
          <w:i w:val="0"/>
          <w:caps w:val="0"/>
          <w:color w:val="0C0C0C"/>
          <w:spacing w:val="0"/>
          <w:kern w:val="0"/>
          <w:sz w:val="28"/>
          <w:szCs w:val="28"/>
          <w:highlight w:val="none"/>
          <w:lang w:val="en-US" w:eastAsia="zh-CN" w:bidi="ar"/>
        </w:rPr>
      </w:pPr>
      <w:r>
        <w:rPr>
          <w:rFonts w:hint="default" w:eastAsia="黑体" w:cs="Times New Roman"/>
          <w:b w:val="0"/>
          <w:bCs/>
          <w:i w:val="0"/>
          <w:caps w:val="0"/>
          <w:color w:val="0C0C0C"/>
          <w:spacing w:val="0"/>
          <w:kern w:val="0"/>
          <w:sz w:val="28"/>
          <w:szCs w:val="28"/>
          <w:highlight w:val="none"/>
          <w:lang w:val="en-US" w:eastAsia="zh-CN" w:bidi="ar"/>
        </w:rPr>
        <w:t>注：</w:t>
      </w:r>
    </w:p>
    <w:p w14:paraId="65840C34">
      <w:pPr>
        <w:pBdr>
          <w:top w:val="none" w:color="auto" w:sz="0" w:space="0"/>
          <w:left w:val="none" w:color="auto" w:sz="0" w:space="0"/>
          <w:bottom w:val="none" w:color="auto" w:sz="0" w:space="0"/>
          <w:right w:val="none" w:color="auto" w:sz="0" w:space="0"/>
        </w:pBdr>
        <w:snapToGrid/>
        <w:ind w:firstLine="552" w:firstLineChars="200"/>
        <w:rPr>
          <w:rFonts w:hint="default" w:ascii="Times New Roman" w:hAnsi="Times New Roman" w:eastAsia="仿宋_GB2312" w:cs="Times New Roman"/>
          <w:color w:val="0C0C0C"/>
          <w:kern w:val="0"/>
          <w:sz w:val="28"/>
          <w:szCs w:val="28"/>
          <w:highlight w:val="none"/>
          <w:lang w:val="en-US" w:eastAsia="zh-CN" w:bidi="ar"/>
        </w:rPr>
      </w:pPr>
      <w:r>
        <w:rPr>
          <w:rFonts w:hint="default" w:ascii="Times New Roman" w:hAnsi="Times New Roman" w:eastAsia="仿宋_GB2312" w:cs="Times New Roman"/>
          <w:i w:val="0"/>
          <w:caps w:val="0"/>
          <w:color w:val="0C0C0C"/>
          <w:spacing w:val="0"/>
          <w:kern w:val="0"/>
          <w:sz w:val="28"/>
          <w:szCs w:val="28"/>
          <w:highlight w:val="none"/>
          <w:lang w:val="en-US" w:eastAsia="zh-CN" w:bidi="ar"/>
        </w:rPr>
        <w:t>[1]</w:t>
      </w:r>
      <w:r>
        <w:rPr>
          <w:rFonts w:hint="default" w:ascii="Times New Roman" w:hAnsi="Times New Roman" w:eastAsia="仿宋_GB2312" w:cs="Times New Roman"/>
          <w:color w:val="0C0C0C"/>
          <w:kern w:val="0"/>
          <w:sz w:val="28"/>
          <w:szCs w:val="28"/>
          <w:highlight w:val="none"/>
          <w:lang w:bidi="ar"/>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p w14:paraId="186138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52" w:firstLineChars="200"/>
        <w:jc w:val="both"/>
        <w:textAlignment w:val="auto"/>
        <w:rPr>
          <w:rFonts w:hint="default" w:ascii="Times New Roman" w:hAnsi="Times New Roman" w:eastAsia="黑体" w:cs="Times New Roman"/>
          <w:bCs/>
          <w:i w:val="0"/>
          <w:caps w:val="0"/>
          <w:color w:val="0C0C0C"/>
          <w:spacing w:val="0"/>
          <w:kern w:val="0"/>
          <w:sz w:val="28"/>
          <w:szCs w:val="28"/>
          <w:highlight w:val="none"/>
          <w:lang w:bidi="ar"/>
        </w:rPr>
      </w:pPr>
      <w:r>
        <w:rPr>
          <w:rFonts w:hint="default" w:ascii="Times New Roman" w:hAnsi="Times New Roman" w:eastAsia="黑体" w:cs="Times New Roman"/>
          <w:b w:val="0"/>
          <w:bCs/>
          <w:i w:val="0"/>
          <w:caps w:val="0"/>
          <w:color w:val="0C0C0C"/>
          <w:spacing w:val="0"/>
          <w:kern w:val="0"/>
          <w:sz w:val="28"/>
          <w:szCs w:val="28"/>
          <w:highlight w:val="none"/>
          <w:lang w:val="en-US" w:eastAsia="zh-CN" w:bidi="ar"/>
        </w:rPr>
        <w:t>注释：</w:t>
      </w:r>
    </w:p>
    <w:p w14:paraId="0E2CEC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2" w:firstLineChars="200"/>
        <w:jc w:val="left"/>
        <w:textAlignment w:val="auto"/>
        <w:rPr>
          <w:rFonts w:hint="default" w:ascii="Times New Roman" w:hAnsi="Times New Roman" w:eastAsia="仿宋_GB2312" w:cs="Times New Roman"/>
          <w:i w:val="0"/>
          <w:caps w:val="0"/>
          <w:color w:val="0C0C0C"/>
          <w:spacing w:val="0"/>
          <w:kern w:val="0"/>
          <w:sz w:val="28"/>
          <w:szCs w:val="28"/>
          <w:highlight w:val="none"/>
          <w:lang w:val="en-US" w:eastAsia="zh-CN" w:bidi="ar"/>
        </w:rPr>
      </w:pPr>
      <w:r>
        <w:rPr>
          <w:rFonts w:hint="default" w:ascii="Times New Roman" w:hAnsi="Times New Roman" w:eastAsia="仿宋_GB2312" w:cs="Times New Roman"/>
          <w:i w:val="0"/>
          <w:caps w:val="0"/>
          <w:color w:val="0C0C0C"/>
          <w:spacing w:val="0"/>
          <w:kern w:val="0"/>
          <w:sz w:val="28"/>
          <w:szCs w:val="28"/>
          <w:highlight w:val="none"/>
          <w:lang w:val="en-US" w:eastAsia="zh-CN" w:bidi="ar"/>
        </w:rPr>
        <w:t>[1]本公报中的行政事业及非企业法人单位，不包括执行企业会计制度的事业法人单位、民办非企业法人单位和基金会，农民专业合作社，农村集体经济组织和除宗教活动场所以外的机构类型为其他组织机构的法人单位。</w:t>
      </w:r>
    </w:p>
    <w:p w14:paraId="368A84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uto"/>
        <w:ind w:left="0" w:right="0" w:firstLine="632"/>
        <w:jc w:val="left"/>
        <w:textAlignment w:val="auto"/>
        <w:rPr>
          <w:rFonts w:hint="default" w:ascii="Times New Roman" w:hAnsi="Times New Roman" w:eastAsia="仿宋_GB2312" w:cs="Times New Roman"/>
          <w:i w:val="0"/>
          <w:caps w:val="0"/>
          <w:color w:val="0C0C0C"/>
          <w:spacing w:val="0"/>
          <w:kern w:val="0"/>
          <w:sz w:val="28"/>
          <w:szCs w:val="28"/>
          <w:highlight w:val="none"/>
          <w:lang w:val="en-US" w:eastAsia="zh-CN" w:bidi="ar"/>
        </w:rPr>
      </w:pPr>
      <w:r>
        <w:rPr>
          <w:rFonts w:hint="default" w:ascii="Times New Roman" w:hAnsi="Times New Roman" w:eastAsia="仿宋_GB2312" w:cs="Times New Roman"/>
          <w:i w:val="0"/>
          <w:caps w:val="0"/>
          <w:color w:val="0C0C0C"/>
          <w:spacing w:val="0"/>
          <w:kern w:val="0"/>
          <w:sz w:val="28"/>
          <w:szCs w:val="28"/>
          <w:highlight w:val="none"/>
          <w:lang w:val="en-US" w:eastAsia="zh-CN" w:bidi="ar"/>
        </w:rPr>
        <w:t>[2]登记注册统计类别：根据国家统计局、国家市场监督管理总局《关于市场主体统计分类的划分规定》（国统字〔2023〕14号）确定，包括内资企业、港澳台投资企业和外商投资企业，以及农民专业合作社（联合社）等其他统计类别。</w:t>
      </w:r>
    </w:p>
    <w:p w14:paraId="488A89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52" w:firstLineChars="200"/>
        <w:jc w:val="left"/>
        <w:textAlignment w:val="auto"/>
        <w:rPr>
          <w:rFonts w:hint="default" w:ascii="Times New Roman" w:hAnsi="Times New Roman" w:eastAsia="仿宋_GB2312" w:cs="Times New Roman"/>
          <w:i w:val="0"/>
          <w:caps w:val="0"/>
          <w:color w:val="0C0C0C"/>
          <w:spacing w:val="0"/>
          <w:kern w:val="0"/>
          <w:sz w:val="28"/>
          <w:szCs w:val="28"/>
          <w:highlight w:val="none"/>
          <w:lang w:val="en-US" w:eastAsia="zh-CN" w:bidi="ar"/>
        </w:rPr>
      </w:pPr>
      <w:r>
        <w:rPr>
          <w:rFonts w:hint="default" w:ascii="Times New Roman" w:hAnsi="Times New Roman" w:eastAsia="仿宋_GB2312" w:cs="Times New Roman"/>
          <w:i w:val="0"/>
          <w:caps w:val="0"/>
          <w:color w:val="0C0C0C"/>
          <w:spacing w:val="0"/>
          <w:kern w:val="0"/>
          <w:sz w:val="28"/>
          <w:szCs w:val="28"/>
          <w:highlight w:val="none"/>
          <w:lang w:val="en-US" w:eastAsia="zh-CN" w:bidi="ar"/>
        </w:rPr>
        <w:t>[3]表中的合计数和部分计算数据因小数取舍而产生的误差，均未作机械调整。</w:t>
      </w:r>
    </w:p>
    <w:p w14:paraId="31532FAB">
      <w:pPr>
        <w:pStyle w:val="2"/>
        <w:keepNext w:val="0"/>
        <w:keepLines w:val="0"/>
        <w:pageBreakBefore w:val="0"/>
        <w:kinsoku/>
        <w:wordWrap/>
        <w:topLinePunct w:val="0"/>
        <w:autoSpaceDE/>
        <w:autoSpaceDN/>
        <w:bidi w:val="0"/>
        <w:spacing w:line="600" w:lineRule="exact"/>
        <w:ind w:firstLine="0" w:firstLineChars="0"/>
        <w:rPr>
          <w:rFonts w:hint="eastAsia" w:ascii="Times New Roman" w:hAnsi="Times New Roman" w:cs="Times New Roman"/>
          <w:color w:val="0C0C0C"/>
          <w:kern w:val="2"/>
          <w:sz w:val="36"/>
          <w:szCs w:val="36"/>
          <w:u w:val="none"/>
          <w:lang w:val="en-US" w:eastAsia="zh-CN" w:bidi="ar-SA"/>
        </w:rPr>
      </w:pPr>
    </w:p>
    <w:p w14:paraId="3CED9AA8">
      <w:pPr>
        <w:ind w:firstLine="0" w:firstLineChars="0"/>
        <w:rPr>
          <w:rFonts w:hint="eastAsia" w:ascii="Times New Roman" w:hAnsi="Times New Roman" w:cs="Times New Roman"/>
          <w:color w:val="0C0C0C"/>
          <w:kern w:val="2"/>
          <w:sz w:val="36"/>
          <w:szCs w:val="36"/>
          <w:u w:val="none"/>
          <w:lang w:val="en-US" w:eastAsia="zh-CN" w:bidi="ar-SA"/>
        </w:rPr>
      </w:pPr>
    </w:p>
    <w:p w14:paraId="4E7C62C0">
      <w:pPr>
        <w:ind w:firstLine="0" w:firstLineChars="0"/>
        <w:rPr>
          <w:rFonts w:hint="eastAsia" w:ascii="Times New Roman" w:hAnsi="Times New Roman" w:cs="Times New Roman"/>
          <w:color w:val="0C0C0C"/>
          <w:kern w:val="2"/>
          <w:sz w:val="36"/>
          <w:szCs w:val="36"/>
          <w:u w:val="none"/>
          <w:lang w:val="en-US" w:eastAsia="zh-CN" w:bidi="ar-SA"/>
        </w:rPr>
      </w:pPr>
    </w:p>
    <w:p w14:paraId="40107960">
      <w:pPr>
        <w:ind w:firstLine="0" w:firstLineChars="0"/>
        <w:rPr>
          <w:rFonts w:hint="eastAsia" w:ascii="Times New Roman" w:hAnsi="Times New Roman" w:cs="Times New Roman"/>
          <w:color w:val="0C0C0C"/>
          <w:kern w:val="2"/>
          <w:sz w:val="36"/>
          <w:szCs w:val="36"/>
          <w:u w:val="none"/>
          <w:lang w:val="en-US" w:eastAsia="zh-CN" w:bidi="ar-SA"/>
        </w:rPr>
      </w:pPr>
    </w:p>
    <w:p w14:paraId="2A815422">
      <w:pPr>
        <w:ind w:firstLine="0" w:firstLineChars="0"/>
        <w:rPr>
          <w:rFonts w:hint="eastAsia" w:ascii="Times New Roman" w:hAnsi="Times New Roman" w:cs="Times New Roman"/>
          <w:color w:val="0C0C0C"/>
          <w:kern w:val="2"/>
          <w:sz w:val="36"/>
          <w:szCs w:val="36"/>
          <w:u w:val="none"/>
          <w:lang w:val="en-US" w:eastAsia="zh-CN" w:bidi="ar-SA"/>
        </w:rPr>
      </w:pPr>
    </w:p>
    <w:p w14:paraId="4903F1C8">
      <w:pPr>
        <w:pStyle w:val="2"/>
        <w:rPr>
          <w:rFonts w:hint="eastAsia"/>
          <w:lang w:val="en-US" w:eastAsia="zh-CN"/>
        </w:rPr>
      </w:pPr>
    </w:p>
    <w:p w14:paraId="04FFA178">
      <w:pPr>
        <w:ind w:firstLine="0" w:firstLineChars="0"/>
        <w:rPr>
          <w:rFonts w:hint="eastAsia" w:ascii="Times New Roman" w:hAnsi="Times New Roman" w:cs="Times New Roman"/>
          <w:color w:val="0C0C0C"/>
          <w:kern w:val="2"/>
          <w:sz w:val="36"/>
          <w:szCs w:val="36"/>
          <w:u w:val="none"/>
          <w:lang w:val="en-US" w:eastAsia="zh-CN" w:bidi="ar-SA"/>
        </w:rPr>
      </w:pPr>
    </w:p>
    <w:sectPr>
      <w:headerReference r:id="rId5" w:type="default"/>
      <w:footerReference r:id="rId7" w:type="default"/>
      <w:headerReference r:id="rId6" w:type="even"/>
      <w:footerReference r:id="rId8" w:type="even"/>
      <w:footnotePr>
        <w:numFmt w:val="decimal"/>
        <w:numRestart w:val="eachPage"/>
      </w:footnotePr>
      <w:pgSz w:w="11906" w:h="16838"/>
      <w:pgMar w:top="2098" w:right="1474" w:bottom="1984" w:left="1587" w:header="851" w:footer="1474" w:gutter="0"/>
      <w:pgBorders>
        <w:top w:val="none" w:sz="0" w:space="0"/>
        <w:left w:val="none" w:sz="0" w:space="0"/>
        <w:bottom w:val="none" w:sz="0" w:space="0"/>
        <w:right w:val="none" w:sz="0" w:space="0"/>
      </w:pgBorders>
      <w:pgNumType w:fmt="decimal"/>
      <w:cols w:space="720" w:num="1"/>
      <w:rtlGutter w:val="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p>
  </w:endnote>
  <w:endnote w:type="continuationSeparator" w:id="1">
    <w:p>
      <w:pPr>
        <w:spacing w:line="240" w:lineRule="auto"/>
        <w:ind w:firstLine="632"/>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楷体_GBK">
    <w:panose1 w:val="02000000000000000000"/>
    <w:charset w:val="86"/>
    <w:family w:val="auto"/>
    <w:pitch w:val="default"/>
    <w:sig w:usb0="800002BF" w:usb1="38CF7CFA" w:usb2="00000016"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F7C2F">
    <w:pPr>
      <w:pStyle w:val="12"/>
      <w:ind w:right="141" w:firstLine="560"/>
      <w:jc w:val="right"/>
      <w:rPr>
        <w:rFonts w:ascii="仿宋_GB2312" w:hAnsi="宋体" w:eastAsia="仿宋_GB2312"/>
        <w:caps/>
        <w:color w:val="auto"/>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C6A0E4">
                          <w:pPr>
                            <w:pStyle w:val="12"/>
                            <w:spacing w:line="240" w:lineRule="auto"/>
                            <w:ind w:left="320" w:leftChars="100" w:right="320" w:rightChars="100"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A0Lq3gEAAL4DAAAOAAAAAAAA&#10;AAEAIAAAAB4BAABkcnMvZTJvRG9jLnhtbFBLBQYAAAAABgAGAFkBAABuBQAAAAA=&#10;">
              <v:fill on="f" focussize="0,0"/>
              <v:stroke on="f"/>
              <v:imagedata o:title=""/>
              <o:lock v:ext="edit" aspectratio="f"/>
              <v:textbox inset="0mm,0mm,0mm,0mm" style="mso-fit-shape-to-text:t;">
                <w:txbxContent>
                  <w:p w14:paraId="23C6A0E4">
                    <w:pPr>
                      <w:pStyle w:val="12"/>
                      <w:spacing w:line="240" w:lineRule="auto"/>
                      <w:ind w:left="320" w:leftChars="100" w:right="320" w:rightChars="100"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649BF">
    <w:pPr>
      <w:pStyle w:val="12"/>
      <w:ind w:left="0" w:leftChars="0" w:right="141" w:firstLine="0" w:firstLineChars="0"/>
      <w:rPr>
        <w:rFonts w:ascii="仿宋_GB2312" w:hAnsi="宋体" w:eastAsia="仿宋_GB2312"/>
        <w:caps/>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FB90CCF">
                          <w:pPr>
                            <w:pStyle w:val="1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16</w:t>
                          </w:r>
                          <w:r>
                            <w:rPr>
                              <w:sz w:val="28"/>
                              <w:szCs w:val="28"/>
                            </w:rPr>
                            <w:fldChar w:fldCharType="end"/>
                          </w:r>
                          <w:r>
                            <w:rPr>
                              <w:sz w:val="28"/>
                              <w:szCs w:val="28"/>
                            </w:rPr>
                            <w:t xml:space="preserve"> —</w:t>
                          </w:r>
                        </w:p>
                      </w:txbxContent>
                    </wps:txbx>
                    <wps:bodyPr vert="horz" wrap="none" lIns="0" tIns="0" rIns="0" bIns="0" anchor="t" anchorCtr="0" upright="0">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Ok39T+IBAADMAwAADgAA&#10;AAAAAAABACAAAAAeAQAAZHJzL2Uyb0RvYy54bWxQSwUGAAAAAAYABgBZAQAAcgUAAAAA&#10;">
              <v:fill on="f" focussize="0,0"/>
              <v:stroke on="f"/>
              <v:imagedata o:title=""/>
              <o:lock v:ext="edit" aspectratio="f"/>
              <v:textbox inset="0mm,0mm,0mm,0mm" style="mso-fit-shape-to-text:t;">
                <w:txbxContent>
                  <w:p w14:paraId="2FB90CCF">
                    <w:pPr>
                      <w:pStyle w:val="1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16</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p>
  </w:footnote>
  <w:footnote w:type="continuationSeparator" w:id="1">
    <w:p>
      <w:pPr>
        <w:spacing w:line="240" w:lineRule="auto"/>
        <w:ind w:firstLine="632"/>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33F35">
    <w:pPr>
      <w:pStyle w:val="1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27C11">
    <w:pPr>
      <w:pStyle w:val="13"/>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dit="trackedChanges" w:enforcement="0"/>
  <w:defaultTabStop w:val="419"/>
  <w:hyphenationZone w:val="360"/>
  <w:drawingGridHorizontalSpacing w:val="158"/>
  <w:drawingGridVerticalSpacing w:val="290"/>
  <w:displayHorizontalDrawingGridEvery w:val="1"/>
  <w:displayVerticalDrawingGridEvery w:val="1"/>
  <w:noPunctuationKerning w:val="1"/>
  <w:characterSpacingControl w:val="compressPunctuation"/>
  <w:hdrShapeDefaults>
    <o:shapelayout v:ext="edit">
      <o:idmap v:ext="edit" data="3"/>
    </o:shapelayout>
  </w:hdrShapeDefaults>
  <w:footnotePr>
    <w:numRestart w:val="eachPag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B0E"/>
    <w:rsid w:val="00024AFC"/>
    <w:rsid w:val="0007110E"/>
    <w:rsid w:val="000A3547"/>
    <w:rsid w:val="000A361D"/>
    <w:rsid w:val="000E1684"/>
    <w:rsid w:val="001C6C77"/>
    <w:rsid w:val="00280636"/>
    <w:rsid w:val="00301315"/>
    <w:rsid w:val="003976BE"/>
    <w:rsid w:val="003F5C4B"/>
    <w:rsid w:val="004135D6"/>
    <w:rsid w:val="00497D70"/>
    <w:rsid w:val="004B486E"/>
    <w:rsid w:val="00521108"/>
    <w:rsid w:val="00564D80"/>
    <w:rsid w:val="00573809"/>
    <w:rsid w:val="005A3D96"/>
    <w:rsid w:val="0064048B"/>
    <w:rsid w:val="00640F6F"/>
    <w:rsid w:val="006B013A"/>
    <w:rsid w:val="0078417E"/>
    <w:rsid w:val="007E6099"/>
    <w:rsid w:val="00846681"/>
    <w:rsid w:val="00971DF7"/>
    <w:rsid w:val="00AD7B0E"/>
    <w:rsid w:val="00B607F0"/>
    <w:rsid w:val="00CA51AD"/>
    <w:rsid w:val="00CC208C"/>
    <w:rsid w:val="00D01BC6"/>
    <w:rsid w:val="00D72D8B"/>
    <w:rsid w:val="00F6787A"/>
    <w:rsid w:val="00FF6638"/>
    <w:rsid w:val="01BB2CB6"/>
    <w:rsid w:val="020E4AAB"/>
    <w:rsid w:val="02FA184C"/>
    <w:rsid w:val="06C60B10"/>
    <w:rsid w:val="07FDD03F"/>
    <w:rsid w:val="088B519F"/>
    <w:rsid w:val="08F17998"/>
    <w:rsid w:val="094731F9"/>
    <w:rsid w:val="0A744383"/>
    <w:rsid w:val="0A9F5332"/>
    <w:rsid w:val="0BF93B68"/>
    <w:rsid w:val="0C426AAC"/>
    <w:rsid w:val="0D7410F4"/>
    <w:rsid w:val="0EBF207A"/>
    <w:rsid w:val="0FBE9A4B"/>
    <w:rsid w:val="0FCED597"/>
    <w:rsid w:val="0FD97682"/>
    <w:rsid w:val="0FFF23C0"/>
    <w:rsid w:val="13BA1189"/>
    <w:rsid w:val="13FE1F96"/>
    <w:rsid w:val="145E31EC"/>
    <w:rsid w:val="16DCCF2E"/>
    <w:rsid w:val="16F7A5AD"/>
    <w:rsid w:val="16FB6D0D"/>
    <w:rsid w:val="171B638F"/>
    <w:rsid w:val="17EFA947"/>
    <w:rsid w:val="17FF2253"/>
    <w:rsid w:val="19D7956D"/>
    <w:rsid w:val="1B4E0845"/>
    <w:rsid w:val="1B76429E"/>
    <w:rsid w:val="1BF777DE"/>
    <w:rsid w:val="1BF92182"/>
    <w:rsid w:val="1BFF8275"/>
    <w:rsid w:val="1DF78592"/>
    <w:rsid w:val="1EDA7168"/>
    <w:rsid w:val="1F1F845E"/>
    <w:rsid w:val="1F3513EE"/>
    <w:rsid w:val="1F7D891F"/>
    <w:rsid w:val="1FB543A2"/>
    <w:rsid w:val="1FBFF3C8"/>
    <w:rsid w:val="1FDF0803"/>
    <w:rsid w:val="1FE61D33"/>
    <w:rsid w:val="1FE88C4E"/>
    <w:rsid w:val="1FEF11E6"/>
    <w:rsid w:val="1FF2D086"/>
    <w:rsid w:val="1FF9375C"/>
    <w:rsid w:val="1FFF2E1C"/>
    <w:rsid w:val="1FFF7604"/>
    <w:rsid w:val="203514EB"/>
    <w:rsid w:val="208C5DEF"/>
    <w:rsid w:val="2154329C"/>
    <w:rsid w:val="233E28EC"/>
    <w:rsid w:val="23B40CCC"/>
    <w:rsid w:val="23F8B3A7"/>
    <w:rsid w:val="24337ADC"/>
    <w:rsid w:val="24BF3D01"/>
    <w:rsid w:val="25335F94"/>
    <w:rsid w:val="25ED9684"/>
    <w:rsid w:val="277F4471"/>
    <w:rsid w:val="27DF4134"/>
    <w:rsid w:val="27F7A832"/>
    <w:rsid w:val="27FBDB47"/>
    <w:rsid w:val="28DE0848"/>
    <w:rsid w:val="299F26BF"/>
    <w:rsid w:val="2A3F10C0"/>
    <w:rsid w:val="2ADB133E"/>
    <w:rsid w:val="2B3F47E3"/>
    <w:rsid w:val="2BAC524B"/>
    <w:rsid w:val="2BF992FF"/>
    <w:rsid w:val="2BFA4942"/>
    <w:rsid w:val="2BFF4474"/>
    <w:rsid w:val="2DFB07DF"/>
    <w:rsid w:val="2E5B0595"/>
    <w:rsid w:val="2ED73919"/>
    <w:rsid w:val="2EFB1545"/>
    <w:rsid w:val="2EFFBB79"/>
    <w:rsid w:val="2F137074"/>
    <w:rsid w:val="2F3446BC"/>
    <w:rsid w:val="2F6F264E"/>
    <w:rsid w:val="2FC30B07"/>
    <w:rsid w:val="2FDE77DF"/>
    <w:rsid w:val="2FDFEF9A"/>
    <w:rsid w:val="2FFB9CB3"/>
    <w:rsid w:val="2FFBBBE7"/>
    <w:rsid w:val="2FFF911A"/>
    <w:rsid w:val="2FFFB3C2"/>
    <w:rsid w:val="2FFFF09F"/>
    <w:rsid w:val="30612509"/>
    <w:rsid w:val="313752AF"/>
    <w:rsid w:val="31A0085A"/>
    <w:rsid w:val="32761C27"/>
    <w:rsid w:val="32A56DF0"/>
    <w:rsid w:val="33FE1CAA"/>
    <w:rsid w:val="358F570B"/>
    <w:rsid w:val="35BB2451"/>
    <w:rsid w:val="35E00704"/>
    <w:rsid w:val="35F4492C"/>
    <w:rsid w:val="35FF2481"/>
    <w:rsid w:val="364FBC95"/>
    <w:rsid w:val="36FD8BFE"/>
    <w:rsid w:val="373B95BF"/>
    <w:rsid w:val="377DE033"/>
    <w:rsid w:val="3788E336"/>
    <w:rsid w:val="37DB3423"/>
    <w:rsid w:val="37DD16EE"/>
    <w:rsid w:val="37E9B8FB"/>
    <w:rsid w:val="37F88C10"/>
    <w:rsid w:val="37FEBAFE"/>
    <w:rsid w:val="37FF2201"/>
    <w:rsid w:val="3828C0DF"/>
    <w:rsid w:val="392E12F9"/>
    <w:rsid w:val="3967FCC5"/>
    <w:rsid w:val="39752B2C"/>
    <w:rsid w:val="39797585"/>
    <w:rsid w:val="39AB74AD"/>
    <w:rsid w:val="39C7E559"/>
    <w:rsid w:val="39FE005B"/>
    <w:rsid w:val="3A293123"/>
    <w:rsid w:val="3AE47CD5"/>
    <w:rsid w:val="3B1CC29E"/>
    <w:rsid w:val="3B3F7D6C"/>
    <w:rsid w:val="3B7E03B0"/>
    <w:rsid w:val="3B7FF208"/>
    <w:rsid w:val="3B966D80"/>
    <w:rsid w:val="3BED48C0"/>
    <w:rsid w:val="3C7B3A80"/>
    <w:rsid w:val="3C8619C1"/>
    <w:rsid w:val="3CB6A8E4"/>
    <w:rsid w:val="3CBCCEDB"/>
    <w:rsid w:val="3D79E0D3"/>
    <w:rsid w:val="3D7F77DA"/>
    <w:rsid w:val="3DAF2F47"/>
    <w:rsid w:val="3DCE2C96"/>
    <w:rsid w:val="3DF9EA1E"/>
    <w:rsid w:val="3DFF8516"/>
    <w:rsid w:val="3E405308"/>
    <w:rsid w:val="3EAF8340"/>
    <w:rsid w:val="3EE355C7"/>
    <w:rsid w:val="3EEEFAF5"/>
    <w:rsid w:val="3EF69AB6"/>
    <w:rsid w:val="3EF6C577"/>
    <w:rsid w:val="3EFE3D92"/>
    <w:rsid w:val="3EFF110E"/>
    <w:rsid w:val="3F035B34"/>
    <w:rsid w:val="3F3A7C32"/>
    <w:rsid w:val="3F5C6D64"/>
    <w:rsid w:val="3F6C638F"/>
    <w:rsid w:val="3F6FA6E2"/>
    <w:rsid w:val="3F794A82"/>
    <w:rsid w:val="3F7F5ECF"/>
    <w:rsid w:val="3F7FC2E7"/>
    <w:rsid w:val="3F882D75"/>
    <w:rsid w:val="3FBCA29C"/>
    <w:rsid w:val="3FBD932F"/>
    <w:rsid w:val="3FBFBFB3"/>
    <w:rsid w:val="3FBFDE1B"/>
    <w:rsid w:val="3FDACAF9"/>
    <w:rsid w:val="3FDB6FD3"/>
    <w:rsid w:val="3FDBB7F6"/>
    <w:rsid w:val="3FDF7A7E"/>
    <w:rsid w:val="3FE988C8"/>
    <w:rsid w:val="3FE9A05D"/>
    <w:rsid w:val="3FEFBB25"/>
    <w:rsid w:val="3FF3766B"/>
    <w:rsid w:val="3FF3E1E5"/>
    <w:rsid w:val="3FFDD182"/>
    <w:rsid w:val="3FFE2BD1"/>
    <w:rsid w:val="3FFE4253"/>
    <w:rsid w:val="3FFF3881"/>
    <w:rsid w:val="3FFFCD8D"/>
    <w:rsid w:val="3FFFD0A8"/>
    <w:rsid w:val="3FFFF6B6"/>
    <w:rsid w:val="40124070"/>
    <w:rsid w:val="42863A85"/>
    <w:rsid w:val="42EB6426"/>
    <w:rsid w:val="436F5290"/>
    <w:rsid w:val="444F182C"/>
    <w:rsid w:val="457BE601"/>
    <w:rsid w:val="46B3584F"/>
    <w:rsid w:val="4780A15D"/>
    <w:rsid w:val="4787A648"/>
    <w:rsid w:val="47C8C0B6"/>
    <w:rsid w:val="47EFF6C2"/>
    <w:rsid w:val="493C1E50"/>
    <w:rsid w:val="4AFFFB5C"/>
    <w:rsid w:val="4B3FE350"/>
    <w:rsid w:val="4B555515"/>
    <w:rsid w:val="4B671843"/>
    <w:rsid w:val="4BFDB641"/>
    <w:rsid w:val="4BFF516E"/>
    <w:rsid w:val="4C170BEA"/>
    <w:rsid w:val="4E8D9E4F"/>
    <w:rsid w:val="4ECF780B"/>
    <w:rsid w:val="4EEA6C4D"/>
    <w:rsid w:val="4F1F9E04"/>
    <w:rsid w:val="4F3F3AB0"/>
    <w:rsid w:val="4F4F996B"/>
    <w:rsid w:val="4F7F5393"/>
    <w:rsid w:val="4F846F8A"/>
    <w:rsid w:val="4F9EB871"/>
    <w:rsid w:val="4FB5FDA4"/>
    <w:rsid w:val="4FBD012B"/>
    <w:rsid w:val="4FD77DB4"/>
    <w:rsid w:val="4FDDFC9A"/>
    <w:rsid w:val="4FDF6E9D"/>
    <w:rsid w:val="4FE84F5A"/>
    <w:rsid w:val="50EF7AB6"/>
    <w:rsid w:val="50FDCC9A"/>
    <w:rsid w:val="51B314F1"/>
    <w:rsid w:val="52EF8584"/>
    <w:rsid w:val="532072A2"/>
    <w:rsid w:val="5349DDD2"/>
    <w:rsid w:val="53690DE6"/>
    <w:rsid w:val="53BE7452"/>
    <w:rsid w:val="53BEDF87"/>
    <w:rsid w:val="53BFD2C2"/>
    <w:rsid w:val="547F94BF"/>
    <w:rsid w:val="55465EF2"/>
    <w:rsid w:val="557FA8DF"/>
    <w:rsid w:val="55FB87A0"/>
    <w:rsid w:val="566B346B"/>
    <w:rsid w:val="56D30AEE"/>
    <w:rsid w:val="56EF7312"/>
    <w:rsid w:val="56FD6CC3"/>
    <w:rsid w:val="56FFFFF0"/>
    <w:rsid w:val="57778108"/>
    <w:rsid w:val="579E22B3"/>
    <w:rsid w:val="57AAB092"/>
    <w:rsid w:val="57AF36EC"/>
    <w:rsid w:val="57B6A4D2"/>
    <w:rsid w:val="57CFD1C4"/>
    <w:rsid w:val="57D3D6EF"/>
    <w:rsid w:val="57F7137D"/>
    <w:rsid w:val="57F7950D"/>
    <w:rsid w:val="57FD8CB0"/>
    <w:rsid w:val="57FFEE2E"/>
    <w:rsid w:val="58FE01EC"/>
    <w:rsid w:val="58FF2310"/>
    <w:rsid w:val="5926587E"/>
    <w:rsid w:val="59B1E942"/>
    <w:rsid w:val="59DCB919"/>
    <w:rsid w:val="59FF3DDF"/>
    <w:rsid w:val="59FFE264"/>
    <w:rsid w:val="5A080678"/>
    <w:rsid w:val="5B146A46"/>
    <w:rsid w:val="5B77D9AC"/>
    <w:rsid w:val="5B7B778A"/>
    <w:rsid w:val="5B8FE9A4"/>
    <w:rsid w:val="5B9D3E63"/>
    <w:rsid w:val="5BB65EFB"/>
    <w:rsid w:val="5BBFADCD"/>
    <w:rsid w:val="5BE75640"/>
    <w:rsid w:val="5BEF77BE"/>
    <w:rsid w:val="5BEFEE2A"/>
    <w:rsid w:val="5BEFF0DF"/>
    <w:rsid w:val="5C3CE6AB"/>
    <w:rsid w:val="5C684F6F"/>
    <w:rsid w:val="5CBA94C3"/>
    <w:rsid w:val="5D0CDA38"/>
    <w:rsid w:val="5D76FE7A"/>
    <w:rsid w:val="5D7B803F"/>
    <w:rsid w:val="5D7F6CFA"/>
    <w:rsid w:val="5D9B9EDA"/>
    <w:rsid w:val="5DBFC919"/>
    <w:rsid w:val="5DDF4958"/>
    <w:rsid w:val="5DFF415E"/>
    <w:rsid w:val="5DFF65A5"/>
    <w:rsid w:val="5E0F33C4"/>
    <w:rsid w:val="5E7B35D5"/>
    <w:rsid w:val="5EA5D34F"/>
    <w:rsid w:val="5EB52B1A"/>
    <w:rsid w:val="5EFA2AA4"/>
    <w:rsid w:val="5EFDBCF8"/>
    <w:rsid w:val="5EFEB2AB"/>
    <w:rsid w:val="5EFF8CA2"/>
    <w:rsid w:val="5F560E7E"/>
    <w:rsid w:val="5F5CC6AA"/>
    <w:rsid w:val="5F6B1E1F"/>
    <w:rsid w:val="5F771625"/>
    <w:rsid w:val="5F77C50B"/>
    <w:rsid w:val="5F7B21AE"/>
    <w:rsid w:val="5F99066A"/>
    <w:rsid w:val="5F9D495D"/>
    <w:rsid w:val="5FBDD67C"/>
    <w:rsid w:val="5FCA51F0"/>
    <w:rsid w:val="5FCF8598"/>
    <w:rsid w:val="5FE7D4FF"/>
    <w:rsid w:val="5FEBAE1D"/>
    <w:rsid w:val="5FEF3068"/>
    <w:rsid w:val="5FEFC1BA"/>
    <w:rsid w:val="5FF32205"/>
    <w:rsid w:val="5FF77964"/>
    <w:rsid w:val="5FF9308B"/>
    <w:rsid w:val="5FFB68ED"/>
    <w:rsid w:val="5FFC3055"/>
    <w:rsid w:val="5FFDE742"/>
    <w:rsid w:val="5FFEA1F0"/>
    <w:rsid w:val="5FFEA941"/>
    <w:rsid w:val="5FFF6F3E"/>
    <w:rsid w:val="5FFFA1C4"/>
    <w:rsid w:val="5FFFB282"/>
    <w:rsid w:val="5FFFBB0F"/>
    <w:rsid w:val="6004301F"/>
    <w:rsid w:val="62F9DC1F"/>
    <w:rsid w:val="63AFF813"/>
    <w:rsid w:val="63BF6F16"/>
    <w:rsid w:val="63C4A7C1"/>
    <w:rsid w:val="63F42CF2"/>
    <w:rsid w:val="648D6577"/>
    <w:rsid w:val="64DFB11B"/>
    <w:rsid w:val="64FF411B"/>
    <w:rsid w:val="6565979E"/>
    <w:rsid w:val="6597E980"/>
    <w:rsid w:val="65D612DA"/>
    <w:rsid w:val="65FFD2EB"/>
    <w:rsid w:val="667DC1BF"/>
    <w:rsid w:val="66BEA5D1"/>
    <w:rsid w:val="66DC4A17"/>
    <w:rsid w:val="66F3C287"/>
    <w:rsid w:val="66F73158"/>
    <w:rsid w:val="671F0847"/>
    <w:rsid w:val="675CDF69"/>
    <w:rsid w:val="6777F0F0"/>
    <w:rsid w:val="677F94E6"/>
    <w:rsid w:val="67AB8142"/>
    <w:rsid w:val="67B31AFA"/>
    <w:rsid w:val="67D7A838"/>
    <w:rsid w:val="67DE33DC"/>
    <w:rsid w:val="67DF81A9"/>
    <w:rsid w:val="67EF69AF"/>
    <w:rsid w:val="67FF64BD"/>
    <w:rsid w:val="67FFB144"/>
    <w:rsid w:val="69FD92C5"/>
    <w:rsid w:val="69FF2363"/>
    <w:rsid w:val="6AA343B6"/>
    <w:rsid w:val="6AB6AAFD"/>
    <w:rsid w:val="6AF10865"/>
    <w:rsid w:val="6AF6DE1F"/>
    <w:rsid w:val="6B26AE95"/>
    <w:rsid w:val="6B5E76D6"/>
    <w:rsid w:val="6B7A305C"/>
    <w:rsid w:val="6BCF67BB"/>
    <w:rsid w:val="6BDB43A5"/>
    <w:rsid w:val="6BDF1904"/>
    <w:rsid w:val="6BDF2B02"/>
    <w:rsid w:val="6BDFC2C0"/>
    <w:rsid w:val="6BEB4331"/>
    <w:rsid w:val="6BED904C"/>
    <w:rsid w:val="6BEFEA6C"/>
    <w:rsid w:val="6BF7CB23"/>
    <w:rsid w:val="6C89162F"/>
    <w:rsid w:val="6CDE5020"/>
    <w:rsid w:val="6CEF216E"/>
    <w:rsid w:val="6CFE5F65"/>
    <w:rsid w:val="6CFFBA0B"/>
    <w:rsid w:val="6D265075"/>
    <w:rsid w:val="6D3E78C0"/>
    <w:rsid w:val="6D714D4D"/>
    <w:rsid w:val="6D9CFC7E"/>
    <w:rsid w:val="6DB50625"/>
    <w:rsid w:val="6DB854D9"/>
    <w:rsid w:val="6DD744A7"/>
    <w:rsid w:val="6DFDB33B"/>
    <w:rsid w:val="6DFF9C7B"/>
    <w:rsid w:val="6DFFBC17"/>
    <w:rsid w:val="6E3F8DD3"/>
    <w:rsid w:val="6E645517"/>
    <w:rsid w:val="6EBED6D5"/>
    <w:rsid w:val="6ECA1356"/>
    <w:rsid w:val="6EDBBFFD"/>
    <w:rsid w:val="6EF03E78"/>
    <w:rsid w:val="6F2B4CD8"/>
    <w:rsid w:val="6F3CEEB6"/>
    <w:rsid w:val="6F6F9B37"/>
    <w:rsid w:val="6F79F453"/>
    <w:rsid w:val="6F7F1E4F"/>
    <w:rsid w:val="6F7FCC20"/>
    <w:rsid w:val="6FACDB2B"/>
    <w:rsid w:val="6FAF50A6"/>
    <w:rsid w:val="6FBAC5E5"/>
    <w:rsid w:val="6FBFB665"/>
    <w:rsid w:val="6FCDD6E7"/>
    <w:rsid w:val="6FCFAE0A"/>
    <w:rsid w:val="6FD0B9F6"/>
    <w:rsid w:val="6FD1D765"/>
    <w:rsid w:val="6FD6FDC6"/>
    <w:rsid w:val="6FDB184C"/>
    <w:rsid w:val="6FDEA5E8"/>
    <w:rsid w:val="6FDF8AD7"/>
    <w:rsid w:val="6FE87451"/>
    <w:rsid w:val="6FF61EF6"/>
    <w:rsid w:val="6FF6BFE9"/>
    <w:rsid w:val="6FF76C25"/>
    <w:rsid w:val="6FF7A61A"/>
    <w:rsid w:val="6FF7F1E6"/>
    <w:rsid w:val="6FFD919F"/>
    <w:rsid w:val="6FFE1B0C"/>
    <w:rsid w:val="6FFE2679"/>
    <w:rsid w:val="6FFF2D4B"/>
    <w:rsid w:val="6FFF4A67"/>
    <w:rsid w:val="711C1764"/>
    <w:rsid w:val="717B472E"/>
    <w:rsid w:val="71BBBF4A"/>
    <w:rsid w:val="71BF906F"/>
    <w:rsid w:val="71EC9C23"/>
    <w:rsid w:val="71FC2881"/>
    <w:rsid w:val="729FB07C"/>
    <w:rsid w:val="733694F8"/>
    <w:rsid w:val="7371C6DF"/>
    <w:rsid w:val="73DF17B3"/>
    <w:rsid w:val="73FEF5BD"/>
    <w:rsid w:val="754B847B"/>
    <w:rsid w:val="756A7825"/>
    <w:rsid w:val="756F314B"/>
    <w:rsid w:val="757C2695"/>
    <w:rsid w:val="75DE0066"/>
    <w:rsid w:val="75EF6EC8"/>
    <w:rsid w:val="75F728F1"/>
    <w:rsid w:val="75F769BA"/>
    <w:rsid w:val="75FC3A6A"/>
    <w:rsid w:val="75FE7C71"/>
    <w:rsid w:val="75FEE4E5"/>
    <w:rsid w:val="75FF0002"/>
    <w:rsid w:val="761B12C1"/>
    <w:rsid w:val="768E18D9"/>
    <w:rsid w:val="76BD7FB9"/>
    <w:rsid w:val="76DA0954"/>
    <w:rsid w:val="76E4715B"/>
    <w:rsid w:val="76FB4EDB"/>
    <w:rsid w:val="76FDBE97"/>
    <w:rsid w:val="776970C0"/>
    <w:rsid w:val="776B3CBD"/>
    <w:rsid w:val="776DD1E5"/>
    <w:rsid w:val="777B91D2"/>
    <w:rsid w:val="7782132C"/>
    <w:rsid w:val="77B1E7C1"/>
    <w:rsid w:val="77B506F1"/>
    <w:rsid w:val="77B682F7"/>
    <w:rsid w:val="77BF378A"/>
    <w:rsid w:val="77BF7886"/>
    <w:rsid w:val="77CE3069"/>
    <w:rsid w:val="77D69238"/>
    <w:rsid w:val="77D88B69"/>
    <w:rsid w:val="77DB9043"/>
    <w:rsid w:val="77E74A37"/>
    <w:rsid w:val="77FB63BB"/>
    <w:rsid w:val="77FB718A"/>
    <w:rsid w:val="77FBA67C"/>
    <w:rsid w:val="77FE0681"/>
    <w:rsid w:val="77FF3FD6"/>
    <w:rsid w:val="77FFD5DC"/>
    <w:rsid w:val="77FFD787"/>
    <w:rsid w:val="785B576A"/>
    <w:rsid w:val="78AE4455"/>
    <w:rsid w:val="78F65FB6"/>
    <w:rsid w:val="791E46C5"/>
    <w:rsid w:val="7979DD3D"/>
    <w:rsid w:val="797EAE71"/>
    <w:rsid w:val="79971DF1"/>
    <w:rsid w:val="79DE60FF"/>
    <w:rsid w:val="79FB9824"/>
    <w:rsid w:val="79FBAA59"/>
    <w:rsid w:val="79FF782B"/>
    <w:rsid w:val="79FFD869"/>
    <w:rsid w:val="7A5F7B79"/>
    <w:rsid w:val="7A71C983"/>
    <w:rsid w:val="7ABFF5D1"/>
    <w:rsid w:val="7ACCD912"/>
    <w:rsid w:val="7AEABAA8"/>
    <w:rsid w:val="7AECA1F1"/>
    <w:rsid w:val="7AF7F4C8"/>
    <w:rsid w:val="7B3F958A"/>
    <w:rsid w:val="7B427F36"/>
    <w:rsid w:val="7B525C37"/>
    <w:rsid w:val="7B59D48F"/>
    <w:rsid w:val="7B5E4991"/>
    <w:rsid w:val="7B77E435"/>
    <w:rsid w:val="7B9BFD50"/>
    <w:rsid w:val="7BAF7FDD"/>
    <w:rsid w:val="7BBB3B9B"/>
    <w:rsid w:val="7BBB7943"/>
    <w:rsid w:val="7BBF268A"/>
    <w:rsid w:val="7BCF095B"/>
    <w:rsid w:val="7BCFAF3F"/>
    <w:rsid w:val="7BD740B6"/>
    <w:rsid w:val="7BDF1FE0"/>
    <w:rsid w:val="7BE4A644"/>
    <w:rsid w:val="7BECBD5E"/>
    <w:rsid w:val="7BEFA03F"/>
    <w:rsid w:val="7BEFC472"/>
    <w:rsid w:val="7BF55460"/>
    <w:rsid w:val="7BF658CC"/>
    <w:rsid w:val="7BFAF6F5"/>
    <w:rsid w:val="7BFD3F94"/>
    <w:rsid w:val="7BFE0E2A"/>
    <w:rsid w:val="7BFEDE25"/>
    <w:rsid w:val="7BFF7DA2"/>
    <w:rsid w:val="7BFFAA7F"/>
    <w:rsid w:val="7BFFC2F8"/>
    <w:rsid w:val="7C1BCD30"/>
    <w:rsid w:val="7C6FD7A3"/>
    <w:rsid w:val="7C974DAF"/>
    <w:rsid w:val="7C9FA705"/>
    <w:rsid w:val="7CAF68BB"/>
    <w:rsid w:val="7CAFD8BA"/>
    <w:rsid w:val="7CCF08D7"/>
    <w:rsid w:val="7CEF34C0"/>
    <w:rsid w:val="7CF766AD"/>
    <w:rsid w:val="7CFE0B2C"/>
    <w:rsid w:val="7CFF17D1"/>
    <w:rsid w:val="7D0EEC87"/>
    <w:rsid w:val="7D3D678F"/>
    <w:rsid w:val="7D3EBDFD"/>
    <w:rsid w:val="7D4F17C0"/>
    <w:rsid w:val="7D5F09D1"/>
    <w:rsid w:val="7D761636"/>
    <w:rsid w:val="7D7F3892"/>
    <w:rsid w:val="7D7F53A3"/>
    <w:rsid w:val="7D9E8636"/>
    <w:rsid w:val="7DAF1609"/>
    <w:rsid w:val="7DAF571B"/>
    <w:rsid w:val="7DBCC9F8"/>
    <w:rsid w:val="7DC79A0F"/>
    <w:rsid w:val="7DC7FEAE"/>
    <w:rsid w:val="7DCB0979"/>
    <w:rsid w:val="7DD784F3"/>
    <w:rsid w:val="7DDA3667"/>
    <w:rsid w:val="7DDC8189"/>
    <w:rsid w:val="7DDD02A5"/>
    <w:rsid w:val="7DDD936E"/>
    <w:rsid w:val="7DDFEEC8"/>
    <w:rsid w:val="7DF369A1"/>
    <w:rsid w:val="7DF7011E"/>
    <w:rsid w:val="7DF99FDF"/>
    <w:rsid w:val="7DF9D301"/>
    <w:rsid w:val="7DFB64B3"/>
    <w:rsid w:val="7DFBF617"/>
    <w:rsid w:val="7DFD1D1F"/>
    <w:rsid w:val="7DFE9093"/>
    <w:rsid w:val="7DFEC43C"/>
    <w:rsid w:val="7DFF979E"/>
    <w:rsid w:val="7DFFD495"/>
    <w:rsid w:val="7DFFF398"/>
    <w:rsid w:val="7DFFFF1E"/>
    <w:rsid w:val="7E3127C7"/>
    <w:rsid w:val="7E4A7341"/>
    <w:rsid w:val="7E5DE123"/>
    <w:rsid w:val="7E7874F9"/>
    <w:rsid w:val="7E7D5D84"/>
    <w:rsid w:val="7E7F3665"/>
    <w:rsid w:val="7E7F4D9C"/>
    <w:rsid w:val="7E85BF34"/>
    <w:rsid w:val="7E910A8D"/>
    <w:rsid w:val="7EAE9D84"/>
    <w:rsid w:val="7EB2F1A6"/>
    <w:rsid w:val="7EB349AD"/>
    <w:rsid w:val="7EB6C63F"/>
    <w:rsid w:val="7EBB2D53"/>
    <w:rsid w:val="7EBD16D2"/>
    <w:rsid w:val="7ECFE83B"/>
    <w:rsid w:val="7ED72962"/>
    <w:rsid w:val="7EDA51E1"/>
    <w:rsid w:val="7EDB33D3"/>
    <w:rsid w:val="7EEDCA17"/>
    <w:rsid w:val="7EEDEDD0"/>
    <w:rsid w:val="7EF3B29A"/>
    <w:rsid w:val="7EFB7D40"/>
    <w:rsid w:val="7EFC5661"/>
    <w:rsid w:val="7EFE3B00"/>
    <w:rsid w:val="7EFF24CF"/>
    <w:rsid w:val="7EFF5C10"/>
    <w:rsid w:val="7EFF8B5D"/>
    <w:rsid w:val="7EFF9AAE"/>
    <w:rsid w:val="7EFFAEFB"/>
    <w:rsid w:val="7F05D170"/>
    <w:rsid w:val="7F1B6520"/>
    <w:rsid w:val="7F2B1768"/>
    <w:rsid w:val="7F33D521"/>
    <w:rsid w:val="7F37374F"/>
    <w:rsid w:val="7F374C53"/>
    <w:rsid w:val="7F3F50F1"/>
    <w:rsid w:val="7F3FA11C"/>
    <w:rsid w:val="7F4B1E7C"/>
    <w:rsid w:val="7F4FD834"/>
    <w:rsid w:val="7F576C47"/>
    <w:rsid w:val="7F5F3797"/>
    <w:rsid w:val="7F6B5CE6"/>
    <w:rsid w:val="7F6DB752"/>
    <w:rsid w:val="7F6F2F9F"/>
    <w:rsid w:val="7F6F66F8"/>
    <w:rsid w:val="7F6FBD46"/>
    <w:rsid w:val="7F6FE163"/>
    <w:rsid w:val="7F7327C2"/>
    <w:rsid w:val="7F75065C"/>
    <w:rsid w:val="7F7D5A4E"/>
    <w:rsid w:val="7F7E8C31"/>
    <w:rsid w:val="7F7F9434"/>
    <w:rsid w:val="7F7F96E8"/>
    <w:rsid w:val="7F7FB06F"/>
    <w:rsid w:val="7F933C5A"/>
    <w:rsid w:val="7F942210"/>
    <w:rsid w:val="7F9C0C87"/>
    <w:rsid w:val="7F9C2CC4"/>
    <w:rsid w:val="7F9F588B"/>
    <w:rsid w:val="7FA07963"/>
    <w:rsid w:val="7FA219AA"/>
    <w:rsid w:val="7FADE3A0"/>
    <w:rsid w:val="7FAF5253"/>
    <w:rsid w:val="7FAFC38E"/>
    <w:rsid w:val="7FB3A74E"/>
    <w:rsid w:val="7FB7ADD3"/>
    <w:rsid w:val="7FBB0E1B"/>
    <w:rsid w:val="7FBB3E29"/>
    <w:rsid w:val="7FBCE82B"/>
    <w:rsid w:val="7FBF2831"/>
    <w:rsid w:val="7FBF9599"/>
    <w:rsid w:val="7FBFAD67"/>
    <w:rsid w:val="7FBFC5B8"/>
    <w:rsid w:val="7FC45B5E"/>
    <w:rsid w:val="7FC6934E"/>
    <w:rsid w:val="7FCF87F9"/>
    <w:rsid w:val="7FD50703"/>
    <w:rsid w:val="7FD59F66"/>
    <w:rsid w:val="7FD7B89C"/>
    <w:rsid w:val="7FDBC184"/>
    <w:rsid w:val="7FDD08F7"/>
    <w:rsid w:val="7FDE53F4"/>
    <w:rsid w:val="7FDF1E08"/>
    <w:rsid w:val="7FDF5405"/>
    <w:rsid w:val="7FE7317F"/>
    <w:rsid w:val="7FE76965"/>
    <w:rsid w:val="7FEB9590"/>
    <w:rsid w:val="7FEBD8BC"/>
    <w:rsid w:val="7FEF3938"/>
    <w:rsid w:val="7FEF9B80"/>
    <w:rsid w:val="7FF286AB"/>
    <w:rsid w:val="7FF3500D"/>
    <w:rsid w:val="7FF49565"/>
    <w:rsid w:val="7FF58DDA"/>
    <w:rsid w:val="7FF9C0C0"/>
    <w:rsid w:val="7FF9CBE9"/>
    <w:rsid w:val="7FFABBC0"/>
    <w:rsid w:val="7FFB72D0"/>
    <w:rsid w:val="7FFBB85E"/>
    <w:rsid w:val="7FFBFDBF"/>
    <w:rsid w:val="7FFC377A"/>
    <w:rsid w:val="7FFC93B9"/>
    <w:rsid w:val="7FFCC2F9"/>
    <w:rsid w:val="7FFD8135"/>
    <w:rsid w:val="7FFD854E"/>
    <w:rsid w:val="7FFDE9EB"/>
    <w:rsid w:val="7FFE1F5E"/>
    <w:rsid w:val="7FFE30BA"/>
    <w:rsid w:val="7FFF0B2F"/>
    <w:rsid w:val="7FFF1B9B"/>
    <w:rsid w:val="7FFF2659"/>
    <w:rsid w:val="7FFF3D77"/>
    <w:rsid w:val="7FFF49BF"/>
    <w:rsid w:val="7FFF77EE"/>
    <w:rsid w:val="7FFF82FD"/>
    <w:rsid w:val="7FFFFD5E"/>
    <w:rsid w:val="8CB3F98B"/>
    <w:rsid w:val="8D5F4578"/>
    <w:rsid w:val="8D9FFEE8"/>
    <w:rsid w:val="8DFF67B0"/>
    <w:rsid w:val="8F6FD51A"/>
    <w:rsid w:val="8FB35B80"/>
    <w:rsid w:val="93BF9B53"/>
    <w:rsid w:val="94E18266"/>
    <w:rsid w:val="96F603F7"/>
    <w:rsid w:val="97375D13"/>
    <w:rsid w:val="97F7966C"/>
    <w:rsid w:val="99FFF18B"/>
    <w:rsid w:val="99FFF911"/>
    <w:rsid w:val="9ABF04C2"/>
    <w:rsid w:val="9BFFCE5B"/>
    <w:rsid w:val="9C74FD07"/>
    <w:rsid w:val="9D374CC7"/>
    <w:rsid w:val="9D7D53A7"/>
    <w:rsid w:val="9DEF6A5A"/>
    <w:rsid w:val="9E34E811"/>
    <w:rsid w:val="9E5F3B43"/>
    <w:rsid w:val="9F8D6B16"/>
    <w:rsid w:val="9FF9A152"/>
    <w:rsid w:val="9FFD6A54"/>
    <w:rsid w:val="9FFE46A0"/>
    <w:rsid w:val="9FFE7BD0"/>
    <w:rsid w:val="9FFF077D"/>
    <w:rsid w:val="9FFF97C9"/>
    <w:rsid w:val="A15DCB5A"/>
    <w:rsid w:val="A16782ED"/>
    <w:rsid w:val="A2E9026E"/>
    <w:rsid w:val="A3ED03F0"/>
    <w:rsid w:val="A3EF6A25"/>
    <w:rsid w:val="A5CF0D4C"/>
    <w:rsid w:val="A64A05E4"/>
    <w:rsid w:val="A6EEF8CC"/>
    <w:rsid w:val="A95FFDF1"/>
    <w:rsid w:val="AAFDD565"/>
    <w:rsid w:val="AB22C6FA"/>
    <w:rsid w:val="AB7FE89D"/>
    <w:rsid w:val="ABDFC85A"/>
    <w:rsid w:val="ADD63F42"/>
    <w:rsid w:val="AEB77811"/>
    <w:rsid w:val="AECF359B"/>
    <w:rsid w:val="AED38D05"/>
    <w:rsid w:val="AEF85348"/>
    <w:rsid w:val="AEFE876B"/>
    <w:rsid w:val="AEFF8DF0"/>
    <w:rsid w:val="AEFFE182"/>
    <w:rsid w:val="AFCD6EEF"/>
    <w:rsid w:val="AFF46019"/>
    <w:rsid w:val="AFFF1F22"/>
    <w:rsid w:val="B07BB246"/>
    <w:rsid w:val="B0B919CB"/>
    <w:rsid w:val="B0BEF232"/>
    <w:rsid w:val="B0DE7C14"/>
    <w:rsid w:val="B33FD52D"/>
    <w:rsid w:val="B3BF527B"/>
    <w:rsid w:val="B3FF0A75"/>
    <w:rsid w:val="B6F49A31"/>
    <w:rsid w:val="B73D3AFC"/>
    <w:rsid w:val="B74A1BFD"/>
    <w:rsid w:val="B77F1D9C"/>
    <w:rsid w:val="B7861478"/>
    <w:rsid w:val="B7B71C23"/>
    <w:rsid w:val="B7EC800D"/>
    <w:rsid w:val="B7F5E5CA"/>
    <w:rsid w:val="B7FB3351"/>
    <w:rsid w:val="B7FF4ACB"/>
    <w:rsid w:val="B7FF4F3A"/>
    <w:rsid w:val="B7FFA23A"/>
    <w:rsid w:val="B8F7B852"/>
    <w:rsid w:val="B8FF4E09"/>
    <w:rsid w:val="B97377C5"/>
    <w:rsid w:val="B97E1F6B"/>
    <w:rsid w:val="B9BF3073"/>
    <w:rsid w:val="B9FB8F61"/>
    <w:rsid w:val="BABF1E9E"/>
    <w:rsid w:val="BAFBCB66"/>
    <w:rsid w:val="BB28C152"/>
    <w:rsid w:val="BB3B49A9"/>
    <w:rsid w:val="BB77E093"/>
    <w:rsid w:val="BB79F0E8"/>
    <w:rsid w:val="BBA56106"/>
    <w:rsid w:val="BBB90825"/>
    <w:rsid w:val="BBEBB27A"/>
    <w:rsid w:val="BBEE0192"/>
    <w:rsid w:val="BBF5A28A"/>
    <w:rsid w:val="BBFD23F5"/>
    <w:rsid w:val="BBFDE05B"/>
    <w:rsid w:val="BBFED913"/>
    <w:rsid w:val="BBFF236B"/>
    <w:rsid w:val="BD3D16BF"/>
    <w:rsid w:val="BD6DBFA0"/>
    <w:rsid w:val="BD77A9FE"/>
    <w:rsid w:val="BDDD025F"/>
    <w:rsid w:val="BDEEFD45"/>
    <w:rsid w:val="BDF78318"/>
    <w:rsid w:val="BDFF08BB"/>
    <w:rsid w:val="BE7D6112"/>
    <w:rsid w:val="BE7E8957"/>
    <w:rsid w:val="BEB4BDE6"/>
    <w:rsid w:val="BEBF7556"/>
    <w:rsid w:val="BECD258E"/>
    <w:rsid w:val="BEFF170A"/>
    <w:rsid w:val="BF3F4CA2"/>
    <w:rsid w:val="BF4F6118"/>
    <w:rsid w:val="BF5C16C1"/>
    <w:rsid w:val="BF7F1AD2"/>
    <w:rsid w:val="BFB69314"/>
    <w:rsid w:val="BFBEE5A2"/>
    <w:rsid w:val="BFC713CE"/>
    <w:rsid w:val="BFDF6C64"/>
    <w:rsid w:val="BFEFEE90"/>
    <w:rsid w:val="BFFB1FDE"/>
    <w:rsid w:val="BFFB9B3B"/>
    <w:rsid w:val="BFFDA345"/>
    <w:rsid w:val="BFFEC18C"/>
    <w:rsid w:val="BFFF7B73"/>
    <w:rsid w:val="C53EFA8F"/>
    <w:rsid w:val="C787E456"/>
    <w:rsid w:val="C7D7C6AA"/>
    <w:rsid w:val="C7E71591"/>
    <w:rsid w:val="C7FF6631"/>
    <w:rsid w:val="C9FE96C5"/>
    <w:rsid w:val="CB79D3C3"/>
    <w:rsid w:val="CBFE179A"/>
    <w:rsid w:val="CCBFED94"/>
    <w:rsid w:val="CCFE67FE"/>
    <w:rsid w:val="CDFF3C25"/>
    <w:rsid w:val="CDFFDEF6"/>
    <w:rsid w:val="CEF434F0"/>
    <w:rsid w:val="CEFD0BE1"/>
    <w:rsid w:val="CEFF0E57"/>
    <w:rsid w:val="CEFFFD95"/>
    <w:rsid w:val="CF3BC05B"/>
    <w:rsid w:val="CF6EEAD5"/>
    <w:rsid w:val="CFBCD9E7"/>
    <w:rsid w:val="CFBFA188"/>
    <w:rsid w:val="CFD765A2"/>
    <w:rsid w:val="CFE411C9"/>
    <w:rsid w:val="CFFB484C"/>
    <w:rsid w:val="CFFBE29A"/>
    <w:rsid w:val="D1DF1E58"/>
    <w:rsid w:val="D2D7F132"/>
    <w:rsid w:val="D353B270"/>
    <w:rsid w:val="D3DF06B8"/>
    <w:rsid w:val="D5FD6B9B"/>
    <w:rsid w:val="D6698FE4"/>
    <w:rsid w:val="D67FE14D"/>
    <w:rsid w:val="D6D74AE6"/>
    <w:rsid w:val="D6EFAD74"/>
    <w:rsid w:val="D71FF13A"/>
    <w:rsid w:val="D73A1D94"/>
    <w:rsid w:val="D75FDA64"/>
    <w:rsid w:val="D776037F"/>
    <w:rsid w:val="D7D7BD3C"/>
    <w:rsid w:val="D7EFFD09"/>
    <w:rsid w:val="D7FB9C66"/>
    <w:rsid w:val="D7FBDA8E"/>
    <w:rsid w:val="D7FCF921"/>
    <w:rsid w:val="D97D7B60"/>
    <w:rsid w:val="D9C7CDB8"/>
    <w:rsid w:val="D9D9097C"/>
    <w:rsid w:val="DB5B58ED"/>
    <w:rsid w:val="DBCEFB98"/>
    <w:rsid w:val="DBDE03C6"/>
    <w:rsid w:val="DBF383D7"/>
    <w:rsid w:val="DBF757DB"/>
    <w:rsid w:val="DBF7F320"/>
    <w:rsid w:val="DBFB338A"/>
    <w:rsid w:val="DBFBCC6D"/>
    <w:rsid w:val="DBFF8B25"/>
    <w:rsid w:val="DCD79A75"/>
    <w:rsid w:val="DCDD8B9B"/>
    <w:rsid w:val="DCE31AE4"/>
    <w:rsid w:val="DD772335"/>
    <w:rsid w:val="DDAB440D"/>
    <w:rsid w:val="DDBF8B9D"/>
    <w:rsid w:val="DDC38E72"/>
    <w:rsid w:val="DDD79BD8"/>
    <w:rsid w:val="DDF177C5"/>
    <w:rsid w:val="DDF44EA1"/>
    <w:rsid w:val="DDFBC6EE"/>
    <w:rsid w:val="DE6DCD1F"/>
    <w:rsid w:val="DE7F8832"/>
    <w:rsid w:val="DEA2F32B"/>
    <w:rsid w:val="DEBDFC51"/>
    <w:rsid w:val="DED78B2A"/>
    <w:rsid w:val="DEDD9858"/>
    <w:rsid w:val="DEE84B83"/>
    <w:rsid w:val="DEEF68F5"/>
    <w:rsid w:val="DEFBCFDC"/>
    <w:rsid w:val="DEFF2D4C"/>
    <w:rsid w:val="DEFFD126"/>
    <w:rsid w:val="DF3FAA81"/>
    <w:rsid w:val="DF6FA601"/>
    <w:rsid w:val="DF6FC28F"/>
    <w:rsid w:val="DF750BCD"/>
    <w:rsid w:val="DF7C41F7"/>
    <w:rsid w:val="DF891F66"/>
    <w:rsid w:val="DF95AF6E"/>
    <w:rsid w:val="DF9FA9A1"/>
    <w:rsid w:val="DFA73515"/>
    <w:rsid w:val="DFB7C284"/>
    <w:rsid w:val="DFBBB04B"/>
    <w:rsid w:val="DFBE38F9"/>
    <w:rsid w:val="DFBE52F4"/>
    <w:rsid w:val="DFDBB725"/>
    <w:rsid w:val="DFDFB9FE"/>
    <w:rsid w:val="DFDFFB66"/>
    <w:rsid w:val="DFF3741C"/>
    <w:rsid w:val="DFF730EA"/>
    <w:rsid w:val="DFF78A4F"/>
    <w:rsid w:val="DFF9CA48"/>
    <w:rsid w:val="DFFE5456"/>
    <w:rsid w:val="E1E2AF4F"/>
    <w:rsid w:val="E3BF832D"/>
    <w:rsid w:val="E3FD1390"/>
    <w:rsid w:val="E3FF3C7F"/>
    <w:rsid w:val="E47A8668"/>
    <w:rsid w:val="E4BBC74D"/>
    <w:rsid w:val="E4BFF5FA"/>
    <w:rsid w:val="E4FF758F"/>
    <w:rsid w:val="E57E358C"/>
    <w:rsid w:val="E5BB8980"/>
    <w:rsid w:val="E5DF44D2"/>
    <w:rsid w:val="E5DF996B"/>
    <w:rsid w:val="E69FE65E"/>
    <w:rsid w:val="E73E98D2"/>
    <w:rsid w:val="E75F2D57"/>
    <w:rsid w:val="E772FB3D"/>
    <w:rsid w:val="E7975A33"/>
    <w:rsid w:val="E7A71296"/>
    <w:rsid w:val="E7CFA36C"/>
    <w:rsid w:val="E7F54BC4"/>
    <w:rsid w:val="E7FFA82A"/>
    <w:rsid w:val="E8BFEACD"/>
    <w:rsid w:val="E93DEE97"/>
    <w:rsid w:val="E9BFB38A"/>
    <w:rsid w:val="E9FF9D8E"/>
    <w:rsid w:val="EAFEEDC8"/>
    <w:rsid w:val="EB3A2BC8"/>
    <w:rsid w:val="EB7D48AC"/>
    <w:rsid w:val="EB7FC1AB"/>
    <w:rsid w:val="EBDD3012"/>
    <w:rsid w:val="EBEB6DD6"/>
    <w:rsid w:val="EBEF0330"/>
    <w:rsid w:val="EBFB4791"/>
    <w:rsid w:val="EBFE3F41"/>
    <w:rsid w:val="ECBA09BE"/>
    <w:rsid w:val="ECE54688"/>
    <w:rsid w:val="ECFF1791"/>
    <w:rsid w:val="ED3584B4"/>
    <w:rsid w:val="ED5AEA48"/>
    <w:rsid w:val="EDBE4C0F"/>
    <w:rsid w:val="EDD54DDF"/>
    <w:rsid w:val="EDDFAED2"/>
    <w:rsid w:val="EDF96367"/>
    <w:rsid w:val="EDFB0E30"/>
    <w:rsid w:val="EDFBB2FD"/>
    <w:rsid w:val="EDFEDEB5"/>
    <w:rsid w:val="EDFFA5F3"/>
    <w:rsid w:val="EE2B0EE9"/>
    <w:rsid w:val="EE5EBA5C"/>
    <w:rsid w:val="EE7F3328"/>
    <w:rsid w:val="EE7FC9F4"/>
    <w:rsid w:val="EEB7B614"/>
    <w:rsid w:val="EEF6B240"/>
    <w:rsid w:val="EEF6EDD4"/>
    <w:rsid w:val="EF3A60F7"/>
    <w:rsid w:val="EF3E6A70"/>
    <w:rsid w:val="EF4C63EB"/>
    <w:rsid w:val="EF570B43"/>
    <w:rsid w:val="EF5EB496"/>
    <w:rsid w:val="EF7DA01E"/>
    <w:rsid w:val="EF7E59C7"/>
    <w:rsid w:val="EF9E7CA9"/>
    <w:rsid w:val="EFB53214"/>
    <w:rsid w:val="EFBD51E9"/>
    <w:rsid w:val="EFBF1154"/>
    <w:rsid w:val="EFBFFC22"/>
    <w:rsid w:val="EFCF1159"/>
    <w:rsid w:val="EFD51FDB"/>
    <w:rsid w:val="EFD649C0"/>
    <w:rsid w:val="EFD73284"/>
    <w:rsid w:val="EFDB004E"/>
    <w:rsid w:val="EFDB83A9"/>
    <w:rsid w:val="EFDC7317"/>
    <w:rsid w:val="EFEBB7BA"/>
    <w:rsid w:val="EFEE05B5"/>
    <w:rsid w:val="EFF3D71E"/>
    <w:rsid w:val="EFF7AE5B"/>
    <w:rsid w:val="EFF9B878"/>
    <w:rsid w:val="EFFBB2BF"/>
    <w:rsid w:val="EFFBB332"/>
    <w:rsid w:val="EFFC8E48"/>
    <w:rsid w:val="EFFDDDC0"/>
    <w:rsid w:val="F19729E1"/>
    <w:rsid w:val="F2DFA15D"/>
    <w:rsid w:val="F37D70D9"/>
    <w:rsid w:val="F3BDF6F8"/>
    <w:rsid w:val="F3BF9559"/>
    <w:rsid w:val="F3DB9E74"/>
    <w:rsid w:val="F3DDC761"/>
    <w:rsid w:val="F3EC1020"/>
    <w:rsid w:val="F3FB2769"/>
    <w:rsid w:val="F3FD4BD8"/>
    <w:rsid w:val="F3FE7ECA"/>
    <w:rsid w:val="F3FEB245"/>
    <w:rsid w:val="F3FF4888"/>
    <w:rsid w:val="F3FF7313"/>
    <w:rsid w:val="F4FDAC36"/>
    <w:rsid w:val="F56FFD99"/>
    <w:rsid w:val="F578DEA9"/>
    <w:rsid w:val="F57D80C2"/>
    <w:rsid w:val="F5A6FAB2"/>
    <w:rsid w:val="F5BD25CA"/>
    <w:rsid w:val="F5BFC38E"/>
    <w:rsid w:val="F5DDE00C"/>
    <w:rsid w:val="F5ED59BE"/>
    <w:rsid w:val="F5F5E510"/>
    <w:rsid w:val="F5FA480E"/>
    <w:rsid w:val="F5FED98C"/>
    <w:rsid w:val="F5FF54A3"/>
    <w:rsid w:val="F66ED806"/>
    <w:rsid w:val="F66FF0C4"/>
    <w:rsid w:val="F67F4D98"/>
    <w:rsid w:val="F6BB3242"/>
    <w:rsid w:val="F6BBEE3A"/>
    <w:rsid w:val="F6C79109"/>
    <w:rsid w:val="F6D344D4"/>
    <w:rsid w:val="F6DC9A90"/>
    <w:rsid w:val="F6E7A6B9"/>
    <w:rsid w:val="F6FA9BB0"/>
    <w:rsid w:val="F6FFCCA0"/>
    <w:rsid w:val="F73FFB86"/>
    <w:rsid w:val="F75713BA"/>
    <w:rsid w:val="F76B5F3E"/>
    <w:rsid w:val="F76D1472"/>
    <w:rsid w:val="F77EFED3"/>
    <w:rsid w:val="F7BFA75C"/>
    <w:rsid w:val="F7D55553"/>
    <w:rsid w:val="F7DC795E"/>
    <w:rsid w:val="F7E7B038"/>
    <w:rsid w:val="F7EB9E18"/>
    <w:rsid w:val="F7EE2E45"/>
    <w:rsid w:val="F7F3C19D"/>
    <w:rsid w:val="F7F97F4C"/>
    <w:rsid w:val="F7FB2DA9"/>
    <w:rsid w:val="F7FC0651"/>
    <w:rsid w:val="F7FF48AF"/>
    <w:rsid w:val="F7FF77A5"/>
    <w:rsid w:val="F84F6BCA"/>
    <w:rsid w:val="F947E6F8"/>
    <w:rsid w:val="F95B1724"/>
    <w:rsid w:val="F9C7D009"/>
    <w:rsid w:val="F9DE0C82"/>
    <w:rsid w:val="F9F6F188"/>
    <w:rsid w:val="F9F73BF6"/>
    <w:rsid w:val="F9F7C2DE"/>
    <w:rsid w:val="F9FBA1FD"/>
    <w:rsid w:val="FA1A8C87"/>
    <w:rsid w:val="FA5F28DA"/>
    <w:rsid w:val="FA770C3E"/>
    <w:rsid w:val="FA7CB5F9"/>
    <w:rsid w:val="FAB2A516"/>
    <w:rsid w:val="FAFD5022"/>
    <w:rsid w:val="FAFE4C17"/>
    <w:rsid w:val="FAFF2CAB"/>
    <w:rsid w:val="FAFFF729"/>
    <w:rsid w:val="FB353988"/>
    <w:rsid w:val="FB37831A"/>
    <w:rsid w:val="FB5FDB16"/>
    <w:rsid w:val="FB761826"/>
    <w:rsid w:val="FB7B23E2"/>
    <w:rsid w:val="FBAFBA5F"/>
    <w:rsid w:val="FBB0E278"/>
    <w:rsid w:val="FBB4B03D"/>
    <w:rsid w:val="FBBAC5F4"/>
    <w:rsid w:val="FBCA2701"/>
    <w:rsid w:val="FBD32E91"/>
    <w:rsid w:val="FBEB5B89"/>
    <w:rsid w:val="FBEEEE22"/>
    <w:rsid w:val="FBF35A1C"/>
    <w:rsid w:val="FBF3C4F3"/>
    <w:rsid w:val="FBF52CA8"/>
    <w:rsid w:val="FBF6D388"/>
    <w:rsid w:val="FBF81654"/>
    <w:rsid w:val="FBFB1268"/>
    <w:rsid w:val="FBFDD31B"/>
    <w:rsid w:val="FBFE2CCB"/>
    <w:rsid w:val="FBFF66B1"/>
    <w:rsid w:val="FBFF7972"/>
    <w:rsid w:val="FBFFA543"/>
    <w:rsid w:val="FC7F06E1"/>
    <w:rsid w:val="FCB73164"/>
    <w:rsid w:val="FCB9850F"/>
    <w:rsid w:val="FCBB943D"/>
    <w:rsid w:val="FCD5A102"/>
    <w:rsid w:val="FCEFCEAC"/>
    <w:rsid w:val="FCFA55D1"/>
    <w:rsid w:val="FCFB3BFF"/>
    <w:rsid w:val="FCFC1072"/>
    <w:rsid w:val="FCFF597E"/>
    <w:rsid w:val="FD411F61"/>
    <w:rsid w:val="FD578284"/>
    <w:rsid w:val="FD7462A5"/>
    <w:rsid w:val="FD7B9578"/>
    <w:rsid w:val="FD7EC8D2"/>
    <w:rsid w:val="FDB02A90"/>
    <w:rsid w:val="FDB78E4C"/>
    <w:rsid w:val="FDBD03C9"/>
    <w:rsid w:val="FDBF0559"/>
    <w:rsid w:val="FDBF0EB3"/>
    <w:rsid w:val="FDBFE0F4"/>
    <w:rsid w:val="FDCD25D2"/>
    <w:rsid w:val="FDCF5887"/>
    <w:rsid w:val="FDDCECF0"/>
    <w:rsid w:val="FDEB76A3"/>
    <w:rsid w:val="FDEE3C07"/>
    <w:rsid w:val="FDF6D627"/>
    <w:rsid w:val="FDF70207"/>
    <w:rsid w:val="FDF7C9CA"/>
    <w:rsid w:val="FDFB874C"/>
    <w:rsid w:val="FDFEB004"/>
    <w:rsid w:val="FDFF3BD8"/>
    <w:rsid w:val="FDFF5147"/>
    <w:rsid w:val="FDFF81C1"/>
    <w:rsid w:val="FE3E2DE8"/>
    <w:rsid w:val="FE5B511C"/>
    <w:rsid w:val="FE639D78"/>
    <w:rsid w:val="FE6F15F4"/>
    <w:rsid w:val="FE6FB8F4"/>
    <w:rsid w:val="FE791E90"/>
    <w:rsid w:val="FE9E4482"/>
    <w:rsid w:val="FEBA7528"/>
    <w:rsid w:val="FEBCC523"/>
    <w:rsid w:val="FEBFF021"/>
    <w:rsid w:val="FEDB6F1E"/>
    <w:rsid w:val="FEEA10A3"/>
    <w:rsid w:val="FEEDB980"/>
    <w:rsid w:val="FEEECE37"/>
    <w:rsid w:val="FEEEEDC1"/>
    <w:rsid w:val="FEF76BD3"/>
    <w:rsid w:val="FEF7F4AB"/>
    <w:rsid w:val="FEFAD0F8"/>
    <w:rsid w:val="FEFC0CCB"/>
    <w:rsid w:val="FEFC12E5"/>
    <w:rsid w:val="FEFC9427"/>
    <w:rsid w:val="FEFEE61A"/>
    <w:rsid w:val="FEFF199F"/>
    <w:rsid w:val="FEFFB4B8"/>
    <w:rsid w:val="FF1E8F36"/>
    <w:rsid w:val="FF2A26BC"/>
    <w:rsid w:val="FF3D4CCF"/>
    <w:rsid w:val="FF3FCECD"/>
    <w:rsid w:val="FF52375B"/>
    <w:rsid w:val="FF53FF38"/>
    <w:rsid w:val="FF57B32D"/>
    <w:rsid w:val="FF5B46D6"/>
    <w:rsid w:val="FF5E5532"/>
    <w:rsid w:val="FF6F4B99"/>
    <w:rsid w:val="FF770AF0"/>
    <w:rsid w:val="FF7AE14D"/>
    <w:rsid w:val="FF7BBBA7"/>
    <w:rsid w:val="FF7D74C6"/>
    <w:rsid w:val="FF7D9DF9"/>
    <w:rsid w:val="FF7F4875"/>
    <w:rsid w:val="FF7F5E02"/>
    <w:rsid w:val="FF7F851A"/>
    <w:rsid w:val="FF9BB4F6"/>
    <w:rsid w:val="FF9DBFED"/>
    <w:rsid w:val="FFA7A4FA"/>
    <w:rsid w:val="FFAA93DB"/>
    <w:rsid w:val="FFAB09E8"/>
    <w:rsid w:val="FFAFEE73"/>
    <w:rsid w:val="FFB5FA03"/>
    <w:rsid w:val="FFB710DF"/>
    <w:rsid w:val="FFB8B9E1"/>
    <w:rsid w:val="FFBB3901"/>
    <w:rsid w:val="FFBB7EAD"/>
    <w:rsid w:val="FFBD116E"/>
    <w:rsid w:val="FFBEE444"/>
    <w:rsid w:val="FFBF19B9"/>
    <w:rsid w:val="FFBF5C6D"/>
    <w:rsid w:val="FFBFAC64"/>
    <w:rsid w:val="FFCDEE64"/>
    <w:rsid w:val="FFCF87AD"/>
    <w:rsid w:val="FFCF9EA2"/>
    <w:rsid w:val="FFCFB67F"/>
    <w:rsid w:val="FFCFEE96"/>
    <w:rsid w:val="FFD662CA"/>
    <w:rsid w:val="FFD9DCB4"/>
    <w:rsid w:val="FFDE8917"/>
    <w:rsid w:val="FFDEAB6C"/>
    <w:rsid w:val="FFDF692A"/>
    <w:rsid w:val="FFDF6D78"/>
    <w:rsid w:val="FFDF7958"/>
    <w:rsid w:val="FFDFF9A5"/>
    <w:rsid w:val="FFE55730"/>
    <w:rsid w:val="FFE66B95"/>
    <w:rsid w:val="FFE737CD"/>
    <w:rsid w:val="FFEB6A4E"/>
    <w:rsid w:val="FFEBB628"/>
    <w:rsid w:val="FFEF7460"/>
    <w:rsid w:val="FFEF7932"/>
    <w:rsid w:val="FFEFEC9B"/>
    <w:rsid w:val="FFEFF8BF"/>
    <w:rsid w:val="FFF2E2E8"/>
    <w:rsid w:val="FFF5FF60"/>
    <w:rsid w:val="FFF79CEC"/>
    <w:rsid w:val="FFF7FBEB"/>
    <w:rsid w:val="FFF881EB"/>
    <w:rsid w:val="FFF9A72A"/>
    <w:rsid w:val="FFFB7081"/>
    <w:rsid w:val="FFFBA0DB"/>
    <w:rsid w:val="FFFD7B2D"/>
    <w:rsid w:val="FFFD8124"/>
    <w:rsid w:val="FFFDDCBA"/>
    <w:rsid w:val="FFFF1388"/>
    <w:rsid w:val="FFFF18EE"/>
    <w:rsid w:val="FFFF1C3D"/>
    <w:rsid w:val="FFFF2AA9"/>
    <w:rsid w:val="FFFF2AEE"/>
    <w:rsid w:val="FFFF3DC5"/>
    <w:rsid w:val="FFFF41FF"/>
    <w:rsid w:val="FFFF506C"/>
    <w:rsid w:val="FFFF67F1"/>
    <w:rsid w:val="FFFF7105"/>
    <w:rsid w:val="FFFFC5D8"/>
    <w:rsid w:val="FFFFCA33"/>
    <w:rsid w:val="FFFFF07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unhideWhenUsed="0" w:uiPriority="9" w:name="heading 4" w:locked="1"/>
    <w:lsdException w:qFormat="1" w:unhideWhenUsed="0" w:uiPriority="9" w:name="heading 5" w:locked="1"/>
    <w:lsdException w:qFormat="1" w:unhideWhenUsed="0" w:uiPriority="9" w:name="heading 6" w:locked="1"/>
    <w:lsdException w:qFormat="1" w:unhideWhenUsed="0" w:uiPriority="9" w:name="heading 7" w:locked="1"/>
    <w:lsdException w:qFormat="1" w:unhideWhenUsed="0" w:uiPriority="9" w:name="heading 8" w:locked="1"/>
    <w:lsdException w:qFormat="1" w:unhideWhenUsed="0" w:uiPriority="9" w:name="heading 9" w:locked="1"/>
    <w:lsdException w:unhideWhenUsed="0" w:uiPriority="99" w:name="index 1" w:locked="1"/>
    <w:lsdException w:unhideWhenUsed="0" w:uiPriority="99" w:name="index 2" w:locked="1"/>
    <w:lsdException w:unhideWhenUsed="0" w:uiPriority="99" w:name="index 3" w:locked="1"/>
    <w:lsdException w:unhideWhenUsed="0" w:uiPriority="99" w:name="index 4" w:locked="1"/>
    <w:lsdException w:unhideWhenUsed="0" w:uiPriority="99" w:name="index 5" w:locked="1"/>
    <w:lsdException w:unhideWhenUsed="0" w:uiPriority="99" w:name="index 6" w:locked="1"/>
    <w:lsdException w:unhideWhenUsed="0" w:uiPriority="99" w:name="index 7" w:locked="1"/>
    <w:lsdException w:unhideWhenUsed="0" w:uiPriority="99" w:name="index 8" w:locked="1"/>
    <w:lsdException w:unhideWhenUsed="0" w:uiPriority="99" w:name="index 9" w:locked="1"/>
    <w:lsdException w:unhideWhenUsed="0" w:uiPriority="39" w:name="toc 1" w:locked="1"/>
    <w:lsdException w:qFormat="1" w:uiPriority="39" w:semiHidden="0" w:name="toc 2" w:locked="1"/>
    <w:lsdException w:qFormat="1" w:uiPriority="39" w:semiHidden="0" w:name="toc 3" w:locked="1"/>
    <w:lsdException w:unhideWhenUsed="0" w:uiPriority="39" w:name="toc 4" w:locked="1"/>
    <w:lsdException w:qFormat="1" w:unhideWhenUsed="0" w:uiPriority="0" w:semiHidden="0" w:name="toc 5" w:locked="1"/>
    <w:lsdException w:unhideWhenUsed="0" w:uiPriority="39" w:name="toc 6" w:locked="1"/>
    <w:lsdException w:unhideWhenUsed="0" w:uiPriority="39" w:name="toc 7" w:locked="1"/>
    <w:lsdException w:unhideWhenUsed="0" w:uiPriority="39" w:name="toc 8" w:locked="1"/>
    <w:lsdException w:unhideWhenUsed="0" w:uiPriority="39" w:name="toc 9" w:locked="1"/>
    <w:lsdException w:qFormat="1" w:unhideWhenUsed="0" w:uiPriority="0" w:semiHidden="0" w:name="Normal Indent" w:locked="1"/>
    <w:lsdException w:qFormat="1" w:uiPriority="99" w:semiHidden="0" w:name="footnote text" w:locked="1"/>
    <w:lsdException w:unhideWhenUsed="0" w:uiPriority="99" w:name="annotation text" w:locked="1"/>
    <w:lsdException w:qFormat="1" w:unhideWhenUsed="0" w:uiPriority="99" w:name="header" w:locked="1"/>
    <w:lsdException w:qFormat="1" w:unhideWhenUsed="0" w:uiPriority="99" w:name="footer" w:locked="1"/>
    <w:lsdException w:unhideWhenUsed="0" w:uiPriority="99" w:name="index heading" w:locked="1"/>
    <w:lsdException w:qFormat="1" w:unhideWhenUsed="0" w:uiPriority="35" w:name="caption" w:locked="1"/>
    <w:lsdException w:unhideWhenUsed="0" w:uiPriority="99" w:name="table of figures" w:locked="1"/>
    <w:lsdException w:unhideWhenUsed="0" w:uiPriority="99" w:name="envelope address" w:locked="1"/>
    <w:lsdException w:unhideWhenUsed="0" w:uiPriority="99" w:name="envelope return" w:locked="1"/>
    <w:lsdException w:qFormat="1" w:uiPriority="99" w:semiHidden="0" w:name="footnote reference" w:locked="1"/>
    <w:lsdException w:unhideWhenUsed="0" w:uiPriority="99" w:name="annotation reference" w:locked="1"/>
    <w:lsdException w:unhideWhenUsed="0" w:uiPriority="99" w:name="line number" w:locked="1"/>
    <w:lsdException w:qFormat="1" w:unhideWhenUsed="0" w:uiPriority="0" w:semiHidden="0" w:name="page number" w:locked="1"/>
    <w:lsdException w:unhideWhenUsed="0" w:uiPriority="99" w:name="endnote reference" w:locked="1"/>
    <w:lsdException w:unhideWhenUsed="0" w:uiPriority="99" w:name="endnote text" w:locked="1"/>
    <w:lsdException w:unhideWhenUsed="0" w:uiPriority="99" w:name="table of authorities" w:locked="1"/>
    <w:lsdException w:unhideWhenUsed="0" w:uiPriority="99" w:name="macro" w:locked="1"/>
    <w:lsdException w:unhideWhenUsed="0" w:uiPriority="99" w:name="toa heading" w:locked="1"/>
    <w:lsdException w:unhideWhenUsed="0" w:uiPriority="99" w:name="List" w:locked="1"/>
    <w:lsdException w:unhideWhenUsed="0" w:uiPriority="99" w:name="List Bullet" w:locked="1"/>
    <w:lsdException w:unhideWhenUsed="0" w:uiPriority="99" w:name="List Number" w:locked="1"/>
    <w:lsdException w:unhideWhenUsed="0" w:uiPriority="99" w:name="List 2" w:locked="1"/>
    <w:lsdException w:unhideWhenUsed="0" w:uiPriority="99" w:name="List 3" w:locked="1"/>
    <w:lsdException w:unhideWhenUsed="0" w:uiPriority="99" w:name="List 4" w:locked="1"/>
    <w:lsdException w:unhideWhenUsed="0" w:uiPriority="99" w:name="List 5" w:locked="1"/>
    <w:lsdException w:unhideWhenUsed="0" w:uiPriority="99" w:name="List Bullet 2" w:locked="1"/>
    <w:lsdException w:unhideWhenUsed="0" w:uiPriority="99" w:name="List Bullet 3" w:locked="1"/>
    <w:lsdException w:unhideWhenUsed="0" w:uiPriority="99" w:name="List Bullet 4" w:locked="1"/>
    <w:lsdException w:unhideWhenUsed="0" w:uiPriority="99" w:name="List Bullet 5" w:locked="1"/>
    <w:lsdException w:unhideWhenUsed="0" w:uiPriority="99" w:name="List Number 2" w:locked="1"/>
    <w:lsdException w:unhideWhenUsed="0" w:uiPriority="99" w:name="List Number 3" w:locked="1"/>
    <w:lsdException w:unhideWhenUsed="0" w:uiPriority="99" w:name="List Number 4" w:locked="1"/>
    <w:lsdException w:unhideWhenUsed="0" w:uiPriority="99" w:name="List Number 5" w:locked="1"/>
    <w:lsdException w:qFormat="1" w:unhideWhenUsed="0" w:uiPriority="10" w:semiHidden="0" w:name="Title" w:locked="1"/>
    <w:lsdException w:unhideWhenUsed="0" w:uiPriority="99" w:name="Closing" w:locked="1"/>
    <w:lsdException w:unhideWhenUsed="0" w:uiPriority="99" w:name="Signature" w:locked="1"/>
    <w:lsdException w:qFormat="1" w:unhideWhenUsed="0" w:uiPriority="1" w:name="Default Paragraph Font"/>
    <w:lsdException w:qFormat="1" w:unhideWhenUsed="0" w:uiPriority="0" w:semiHidden="0" w:name="Body Text" w:locked="1"/>
    <w:lsdException w:qFormat="1" w:unhideWhenUsed="0" w:uiPriority="99" w:semiHidden="0" w:name="Body Text Indent" w:locked="1"/>
    <w:lsdException w:unhideWhenUsed="0" w:uiPriority="99" w:name="List Continue" w:locked="1"/>
    <w:lsdException w:unhideWhenUsed="0" w:uiPriority="99" w:name="List Continue 2" w:locked="1"/>
    <w:lsdException w:unhideWhenUsed="0" w:uiPriority="99" w:name="List Continue 3" w:locked="1"/>
    <w:lsdException w:unhideWhenUsed="0" w:uiPriority="99" w:name="List Continue 4" w:locked="1"/>
    <w:lsdException w:unhideWhenUsed="0" w:uiPriority="99" w:name="List Continue 5" w:locked="1"/>
    <w:lsdException w:unhideWhenUsed="0" w:uiPriority="99" w:name="Message Header" w:locked="1"/>
    <w:lsdException w:unhideWhenUsed="0" w:uiPriority="11" w:name="Subtitle" w:locked="1"/>
    <w:lsdException w:unhideWhenUsed="0" w:uiPriority="99" w:name="Salutation" w:locked="1"/>
    <w:lsdException w:unhideWhenUsed="0" w:uiPriority="99" w:name="Date" w:locked="1"/>
    <w:lsdException w:qFormat="1" w:uiPriority="99" w:semiHidden="0" w:name="Body Text First Indent" w:locked="1"/>
    <w:lsdException w:qFormat="1" w:unhideWhenUsed="0" w:uiPriority="0" w:semiHidden="0" w:name="Body Text First Indent 2" w:locked="1"/>
    <w:lsdException w:unhideWhenUsed="0" w:uiPriority="99" w:name="Note Heading" w:locked="1"/>
    <w:lsdException w:unhideWhenUsed="0" w:uiPriority="99" w:name="Body Text 2" w:locked="1"/>
    <w:lsdException w:unhideWhenUsed="0" w:uiPriority="99" w:name="Body Text 3" w:locked="1"/>
    <w:lsdException w:unhideWhenUsed="0" w:uiPriority="99" w:name="Body Text Indent 2" w:locked="1"/>
    <w:lsdException w:unhideWhenUsed="0" w:uiPriority="99" w:name="Body Text Indent 3" w:locked="1"/>
    <w:lsdException w:unhideWhenUsed="0" w:uiPriority="99" w:name="Block Text" w:locked="1"/>
    <w:lsdException w:unhideWhenUsed="0" w:uiPriority="99" w:name="Hyperlink" w:locked="1"/>
    <w:lsdException w:unhideWhenUsed="0" w:uiPriority="99" w:name="FollowedHyperlink" w:locked="1"/>
    <w:lsdException w:qFormat="1" w:unhideWhenUsed="0" w:uiPriority="0" w:semiHidden="0" w:name="Strong" w:locked="1"/>
    <w:lsdException w:unhideWhenUsed="0" w:uiPriority="20" w:name="Emphasis" w:locked="1"/>
    <w:lsdException w:unhideWhenUsed="0" w:uiPriority="99" w:name="Document Map" w:locked="1"/>
    <w:lsdException w:unhideWhenUsed="0" w:uiPriority="99" w:name="Plain Text" w:locked="1"/>
    <w:lsdException w:unhideWhenUsed="0" w:uiPriority="99" w:name="E-mail Signature" w:locked="1"/>
    <w:lsdException w:qFormat="1" w:unhideWhenUsed="0" w:uiPriority="0" w:semiHidden="0" w:name="Normal (Web)" w:locked="1"/>
    <w:lsdException w:unhideWhenUsed="0" w:uiPriority="99" w:name="HTML Acronym" w:locked="1"/>
    <w:lsdException w:unhideWhenUsed="0" w:uiPriority="99" w:name="HTML Address" w:locked="1"/>
    <w:lsdException w:unhideWhenUsed="0" w:uiPriority="99" w:name="HTML Cite" w:locked="1"/>
    <w:lsdException w:unhideWhenUsed="0" w:uiPriority="99" w:name="HTML Code" w:locked="1"/>
    <w:lsdException w:unhideWhenUsed="0" w:uiPriority="99" w:name="HTML Definition" w:locked="1"/>
    <w:lsdException w:unhideWhenUsed="0" w:uiPriority="99" w:name="HTML Keyboard" w:locked="1"/>
    <w:lsdException w:unhideWhenUsed="0" w:uiPriority="99" w:name="HTML Preformatted" w:locked="1"/>
    <w:lsdException w:unhideWhenUsed="0" w:uiPriority="99" w:name="HTML Sample" w:locked="1"/>
    <w:lsdException w:unhideWhenUsed="0" w:uiPriority="99" w:name="HTML Typewriter" w:locked="1"/>
    <w:lsdException w:unhideWhenUsed="0" w:uiPriority="99" w:name="HTML Variable" w:locked="1"/>
    <w:lsdException w:qFormat="1" w:uiPriority="99" w:semiHidden="0" w:name="Normal Table"/>
    <w:lsdException w:unhideWhenUsed="0"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8" w:lineRule="exact"/>
      <w:ind w:firstLine="200" w:firstLineChars="200"/>
      <w:jc w:val="both"/>
      <w:textAlignment w:val="center"/>
    </w:pPr>
    <w:rPr>
      <w:rFonts w:ascii="Times New Roman" w:hAnsi="Times New Roman" w:eastAsia="方正仿宋_GBK" w:cs="Times New Roman"/>
      <w:kern w:val="2"/>
      <w:sz w:val="32"/>
      <w:szCs w:val="22"/>
      <w:lang w:val="en-US" w:eastAsia="zh-CN" w:bidi="ar-SA"/>
    </w:rPr>
  </w:style>
  <w:style w:type="paragraph" w:styleId="4">
    <w:name w:val="heading 1"/>
    <w:basedOn w:val="1"/>
    <w:next w:val="1"/>
    <w:link w:val="23"/>
    <w:qFormat/>
    <w:uiPriority w:val="9"/>
    <w:pPr>
      <w:keepNext/>
      <w:keepLines/>
      <w:ind w:firstLine="0" w:firstLineChars="0"/>
      <w:outlineLvl w:val="0"/>
    </w:pPr>
    <w:rPr>
      <w:rFonts w:ascii="Times New Roman" w:hAnsi="Times New Roman" w:eastAsia="方正黑体_GBK"/>
      <w:bCs/>
      <w:kern w:val="44"/>
      <w:szCs w:val="44"/>
    </w:rPr>
  </w:style>
  <w:style w:type="paragraph" w:styleId="5">
    <w:name w:val="heading 2"/>
    <w:basedOn w:val="1"/>
    <w:next w:val="1"/>
    <w:link w:val="29"/>
    <w:qFormat/>
    <w:uiPriority w:val="9"/>
    <w:pPr>
      <w:keepNext/>
      <w:keepLines/>
      <w:ind w:firstLine="0" w:firstLineChars="0"/>
      <w:outlineLvl w:val="1"/>
    </w:pPr>
    <w:rPr>
      <w:rFonts w:ascii="Times New Roman" w:hAnsi="Times New Roman" w:eastAsia="方正楷体_GBK"/>
      <w:bCs/>
      <w:szCs w:val="32"/>
    </w:rPr>
  </w:style>
  <w:style w:type="paragraph" w:styleId="6">
    <w:name w:val="heading 3"/>
    <w:basedOn w:val="1"/>
    <w:next w:val="1"/>
    <w:link w:val="25"/>
    <w:qFormat/>
    <w:uiPriority w:val="9"/>
    <w:pPr>
      <w:keepNext/>
      <w:keepLines/>
      <w:ind w:firstLine="0" w:firstLineChars="0"/>
      <w:outlineLvl w:val="2"/>
    </w:pPr>
    <w:rPr>
      <w:rFonts w:ascii="Times New Roman" w:hAnsi="Times New Roman" w:eastAsia="方正楷体_GBK"/>
      <w:bCs/>
      <w:szCs w:val="32"/>
    </w:rPr>
  </w:style>
  <w:style w:type="character" w:default="1" w:styleId="19">
    <w:name w:val="Default Paragraph Font"/>
    <w:semiHidden/>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2">
    <w:name w:val="Body Text First Indent 2"/>
    <w:basedOn w:val="3"/>
    <w:next w:val="1"/>
    <w:qFormat/>
    <w:locked/>
    <w:uiPriority w:val="0"/>
    <w:pPr>
      <w:ind w:firstLine="420" w:firstLineChars="200"/>
    </w:pPr>
  </w:style>
  <w:style w:type="paragraph" w:styleId="3">
    <w:name w:val="Body Text Indent"/>
    <w:basedOn w:val="1"/>
    <w:next w:val="1"/>
    <w:qFormat/>
    <w:locked/>
    <w:uiPriority w:val="99"/>
    <w:pPr>
      <w:adjustRightInd w:val="0"/>
      <w:spacing w:line="360" w:lineRule="atLeast"/>
      <w:ind w:firstLine="600"/>
      <w:textAlignment w:val="baseline"/>
    </w:pPr>
    <w:rPr>
      <w:kern w:val="0"/>
      <w:sz w:val="30"/>
      <w:szCs w:val="20"/>
    </w:rPr>
  </w:style>
  <w:style w:type="paragraph" w:styleId="7">
    <w:name w:val="Normal Indent"/>
    <w:basedOn w:val="1"/>
    <w:next w:val="1"/>
    <w:qFormat/>
    <w:locked/>
    <w:uiPriority w:val="0"/>
  </w:style>
  <w:style w:type="paragraph" w:styleId="8">
    <w:name w:val="Body Text"/>
    <w:basedOn w:val="1"/>
    <w:next w:val="9"/>
    <w:qFormat/>
    <w:locked/>
    <w:uiPriority w:val="0"/>
    <w:pPr>
      <w:spacing w:after="120"/>
    </w:pPr>
  </w:style>
  <w:style w:type="paragraph" w:styleId="9">
    <w:name w:val="Title"/>
    <w:basedOn w:val="1"/>
    <w:next w:val="1"/>
    <w:qFormat/>
    <w:locked/>
    <w:uiPriority w:val="10"/>
    <w:pPr>
      <w:widowControl/>
      <w:ind w:firstLine="0" w:firstLineChars="0"/>
      <w:jc w:val="center"/>
    </w:pPr>
    <w:rPr>
      <w:rFonts w:eastAsia="方正小标宋简体"/>
      <w:b/>
      <w:bCs/>
      <w:sz w:val="40"/>
    </w:rPr>
  </w:style>
  <w:style w:type="paragraph" w:styleId="10">
    <w:name w:val="toc 5"/>
    <w:next w:val="1"/>
    <w:qFormat/>
    <w:locked/>
    <w:uiPriority w:val="0"/>
    <w:pPr>
      <w:widowControl w:val="0"/>
      <w:overflowPunct w:val="0"/>
      <w:spacing w:line="588" w:lineRule="exact"/>
      <w:ind w:left="1680" w:leftChars="800" w:firstLine="420" w:firstLineChars="200"/>
      <w:jc w:val="both"/>
      <w:textAlignment w:val="center"/>
    </w:pPr>
    <w:rPr>
      <w:rFonts w:ascii="Times New Roman" w:hAnsi="Times New Roman" w:eastAsia="方正仿宋_GBK" w:cs="方正仿宋_GBK"/>
      <w:kern w:val="2"/>
      <w:sz w:val="30"/>
      <w:szCs w:val="30"/>
      <w:lang w:val="en-US" w:eastAsia="zh-CN" w:bidi="ar-SA"/>
    </w:rPr>
  </w:style>
  <w:style w:type="paragraph" w:styleId="11">
    <w:name w:val="toc 3"/>
    <w:basedOn w:val="1"/>
    <w:next w:val="1"/>
    <w:unhideWhenUsed/>
    <w:qFormat/>
    <w:locked/>
    <w:uiPriority w:val="39"/>
  </w:style>
  <w:style w:type="paragraph" w:styleId="12">
    <w:name w:val="footer"/>
    <w:basedOn w:val="1"/>
    <w:link w:val="26"/>
    <w:semiHidden/>
    <w:qFormat/>
    <w:locked/>
    <w:uiPriority w:val="99"/>
    <w:pPr>
      <w:tabs>
        <w:tab w:val="center" w:pos="4153"/>
        <w:tab w:val="right" w:pos="8306"/>
      </w:tabs>
      <w:snapToGrid w:val="0"/>
      <w:spacing w:line="240" w:lineRule="atLeast"/>
      <w:jc w:val="left"/>
    </w:pPr>
    <w:rPr>
      <w:kern w:val="0"/>
      <w:sz w:val="18"/>
      <w:szCs w:val="18"/>
    </w:rPr>
  </w:style>
  <w:style w:type="paragraph" w:styleId="13">
    <w:name w:val="header"/>
    <w:basedOn w:val="1"/>
    <w:link w:val="27"/>
    <w:semiHidden/>
    <w:qFormat/>
    <w:locked/>
    <w:uiPriority w:val="99"/>
    <w:pPr>
      <w:pBdr>
        <w:bottom w:val="single" w:color="auto" w:sz="6" w:space="1"/>
      </w:pBdr>
      <w:tabs>
        <w:tab w:val="center" w:pos="4153"/>
        <w:tab w:val="right" w:pos="8306"/>
      </w:tabs>
      <w:snapToGrid w:val="0"/>
      <w:spacing w:line="240" w:lineRule="atLeast"/>
      <w:jc w:val="center"/>
    </w:pPr>
    <w:rPr>
      <w:kern w:val="0"/>
      <w:sz w:val="18"/>
      <w:szCs w:val="18"/>
    </w:rPr>
  </w:style>
  <w:style w:type="paragraph" w:styleId="14">
    <w:name w:val="footnote text"/>
    <w:basedOn w:val="1"/>
    <w:unhideWhenUsed/>
    <w:qFormat/>
    <w:locked/>
    <w:uiPriority w:val="99"/>
    <w:pPr>
      <w:snapToGrid w:val="0"/>
      <w:jc w:val="left"/>
    </w:pPr>
    <w:rPr>
      <w:sz w:val="18"/>
    </w:rPr>
  </w:style>
  <w:style w:type="paragraph" w:styleId="15">
    <w:name w:val="toc 2"/>
    <w:basedOn w:val="1"/>
    <w:next w:val="1"/>
    <w:unhideWhenUsed/>
    <w:qFormat/>
    <w:locked/>
    <w:uiPriority w:val="39"/>
    <w:pPr>
      <w:tabs>
        <w:tab w:val="right" w:leader="dot" w:pos="8664"/>
      </w:tabs>
      <w:ind w:firstLine="320" w:firstLineChars="100"/>
    </w:pPr>
    <w:rPr>
      <w:rFonts w:eastAsia="方正楷体_GBK"/>
    </w:rPr>
  </w:style>
  <w:style w:type="paragraph" w:styleId="16">
    <w:name w:val="Normal (Web)"/>
    <w:basedOn w:val="1"/>
    <w:qFormat/>
    <w:locked/>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8"/>
    <w:next w:val="2"/>
    <w:unhideWhenUsed/>
    <w:qFormat/>
    <w:locked/>
    <w:uiPriority w:val="99"/>
    <w:pPr>
      <w:autoSpaceDE/>
      <w:autoSpaceDN/>
      <w:spacing w:after="120"/>
      <w:ind w:left="0" w:firstLine="420" w:firstLineChars="100"/>
      <w:jc w:val="both"/>
    </w:pPr>
    <w:rPr>
      <w:rFonts w:ascii="等线" w:hAnsi="等线" w:eastAsia="等线" w:cs="Times New Roman"/>
      <w:kern w:val="2"/>
      <w:sz w:val="21"/>
      <w:szCs w:val="22"/>
      <w:lang w:val="en-US" w:bidi="ar-SA"/>
    </w:rPr>
  </w:style>
  <w:style w:type="character" w:styleId="20">
    <w:name w:val="Strong"/>
    <w:basedOn w:val="19"/>
    <w:qFormat/>
    <w:locked/>
    <w:uiPriority w:val="0"/>
    <w:rPr>
      <w:b/>
    </w:rPr>
  </w:style>
  <w:style w:type="character" w:styleId="21">
    <w:name w:val="page number"/>
    <w:basedOn w:val="19"/>
    <w:qFormat/>
    <w:locked/>
    <w:uiPriority w:val="0"/>
  </w:style>
  <w:style w:type="character" w:styleId="22">
    <w:name w:val="footnote reference"/>
    <w:basedOn w:val="19"/>
    <w:unhideWhenUsed/>
    <w:qFormat/>
    <w:locked/>
    <w:uiPriority w:val="99"/>
    <w:rPr>
      <w:vertAlign w:val="superscript"/>
    </w:rPr>
  </w:style>
  <w:style w:type="character" w:customStyle="1" w:styleId="23">
    <w:name w:val="标题 1 Char"/>
    <w:link w:val="4"/>
    <w:qFormat/>
    <w:uiPriority w:val="9"/>
    <w:rPr>
      <w:rFonts w:ascii="Times New Roman" w:hAnsi="Times New Roman" w:eastAsia="方正黑体_GBK"/>
      <w:bCs/>
      <w:kern w:val="44"/>
      <w:sz w:val="30"/>
      <w:szCs w:val="44"/>
    </w:rPr>
  </w:style>
  <w:style w:type="character" w:customStyle="1" w:styleId="24">
    <w:name w:val="标题 2 Char1"/>
    <w:link w:val="5"/>
    <w:qFormat/>
    <w:uiPriority w:val="0"/>
    <w:rPr>
      <w:rFonts w:eastAsia="方正楷体_GBK"/>
      <w:szCs w:val="30"/>
    </w:rPr>
  </w:style>
  <w:style w:type="character" w:customStyle="1" w:styleId="25">
    <w:name w:val="标题 3 Char"/>
    <w:link w:val="6"/>
    <w:qFormat/>
    <w:uiPriority w:val="9"/>
    <w:rPr>
      <w:rFonts w:ascii="Times New Roman" w:hAnsi="Times New Roman" w:eastAsia="方正楷体_GBK"/>
      <w:bCs/>
      <w:kern w:val="2"/>
      <w:sz w:val="30"/>
      <w:szCs w:val="32"/>
    </w:rPr>
  </w:style>
  <w:style w:type="character" w:customStyle="1" w:styleId="26">
    <w:name w:val="页脚 Char"/>
    <w:link w:val="12"/>
    <w:semiHidden/>
    <w:qFormat/>
    <w:uiPriority w:val="99"/>
    <w:rPr>
      <w:rFonts w:eastAsia="方正仿宋_GBK"/>
      <w:sz w:val="18"/>
      <w:szCs w:val="18"/>
    </w:rPr>
  </w:style>
  <w:style w:type="character" w:customStyle="1" w:styleId="27">
    <w:name w:val="页眉 Char"/>
    <w:link w:val="13"/>
    <w:semiHidden/>
    <w:qFormat/>
    <w:uiPriority w:val="99"/>
    <w:rPr>
      <w:rFonts w:eastAsia="方正仿宋_GBK"/>
      <w:sz w:val="18"/>
      <w:szCs w:val="18"/>
    </w:rPr>
  </w:style>
  <w:style w:type="character" w:customStyle="1" w:styleId="28">
    <w:name w:val="标题 2 Char2"/>
    <w:link w:val="5"/>
    <w:qFormat/>
    <w:uiPriority w:val="0"/>
    <w:rPr>
      <w:rFonts w:ascii="Times New Roman" w:hAnsi="Times New Roman" w:eastAsia="方正楷体_GBK"/>
      <w:kern w:val="0"/>
      <w:sz w:val="30"/>
      <w:szCs w:val="20"/>
      <w:lang w:val="en-US" w:eastAsia="zh-CN" w:bidi="ar-SA"/>
    </w:rPr>
  </w:style>
  <w:style w:type="character" w:customStyle="1" w:styleId="29">
    <w:name w:val="标题 2 Char"/>
    <w:link w:val="5"/>
    <w:qFormat/>
    <w:uiPriority w:val="9"/>
    <w:rPr>
      <w:rFonts w:ascii="Times New Roman" w:hAnsi="Times New Roman" w:eastAsia="方正楷体_GBK"/>
      <w:bCs/>
      <w:kern w:val="2"/>
      <w:sz w:val="30"/>
      <w:szCs w:val="32"/>
    </w:rPr>
  </w:style>
  <w:style w:type="paragraph" w:customStyle="1" w:styleId="30">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31">
    <w:name w:val="font01"/>
    <w:basedOn w:val="19"/>
    <w:qFormat/>
    <w:uiPriority w:val="0"/>
    <w:rPr>
      <w:rFonts w:hint="default" w:ascii="Times New Roman" w:hAnsi="Times New Roman" w:cs="Times New Roman"/>
      <w:color w:val="000000"/>
      <w:sz w:val="36"/>
      <w:szCs w:val="36"/>
      <w:u w:val="none"/>
    </w:rPr>
  </w:style>
  <w:style w:type="character" w:customStyle="1" w:styleId="32">
    <w:name w:val="font41"/>
    <w:basedOn w:val="19"/>
    <w:qFormat/>
    <w:uiPriority w:val="0"/>
    <w:rPr>
      <w:rFonts w:hint="default" w:ascii="Times New Roman" w:hAnsi="Times New Roman" w:cs="Times New Roman"/>
      <w:color w:val="000000"/>
      <w:sz w:val="24"/>
      <w:szCs w:val="24"/>
      <w:u w:val="none"/>
    </w:rPr>
  </w:style>
  <w:style w:type="paragraph" w:customStyle="1" w:styleId="33">
    <w:name w:val="Body Text First Indent 21"/>
    <w:basedOn w:val="34"/>
    <w:unhideWhenUsed/>
    <w:qFormat/>
    <w:uiPriority w:val="99"/>
    <w:pPr>
      <w:ind w:left="0" w:firstLine="420"/>
    </w:pPr>
    <w:rPr>
      <w:rFonts w:hint="default" w:eastAsia="Times New Roman"/>
      <w:sz w:val="32"/>
    </w:rPr>
  </w:style>
  <w:style w:type="paragraph" w:customStyle="1" w:styleId="34">
    <w:name w:val="Body Text Indent1"/>
    <w:basedOn w:val="1"/>
    <w:unhideWhenUsed/>
    <w:qFormat/>
    <w:uiPriority w:val="99"/>
    <w:pPr>
      <w:ind w:left="420" w:leftChars="200"/>
    </w:pPr>
    <w:rPr>
      <w:rFonts w:hint="eastAsia"/>
      <w:sz w:val="21"/>
    </w:rPr>
  </w:style>
  <w:style w:type="paragraph" w:customStyle="1" w:styleId="35">
    <w:name w:val="纯文本1"/>
    <w:basedOn w:val="1"/>
    <w:qFormat/>
    <w:uiPriority w:val="0"/>
    <w:rPr>
      <w:rFonts w:ascii="宋体" w:hAnsi="Courier New" w:cs="Courier New"/>
      <w:szCs w:val="21"/>
    </w:rPr>
  </w:style>
  <w:style w:type="paragraph" w:customStyle="1" w:styleId="36">
    <w:name w:val="正文（缩进）"/>
    <w:qFormat/>
    <w:uiPriority w:val="0"/>
    <w:pPr>
      <w:widowControl w:val="0"/>
      <w:spacing w:line="594" w:lineRule="exact"/>
      <w:ind w:firstLine="482"/>
      <w:jc w:val="both"/>
    </w:pPr>
    <w:rPr>
      <w:rFonts w:ascii="仿宋_GB2312" w:hAnsi="Calibri" w:eastAsia="方正仿宋_GBK" w:cs="仿宋_GB2312"/>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2611</Words>
  <Characters>3382</Characters>
  <Lines>0</Lines>
  <Paragraphs>0</Paragraphs>
  <TotalTime>7</TotalTime>
  <ScaleCrop>false</ScaleCrop>
  <LinksUpToDate>false</LinksUpToDate>
  <CharactersWithSpaces>3455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2017-02-20T10:19:00Z</dcterms:created>
  <dc:creator>程建林</dc:creator>
  <cp:lastModifiedBy>津津</cp:lastModifiedBy>
  <cp:lastPrinted>2025-02-22T09:50:00Z</cp:lastPrinted>
  <dcterms:modified xsi:type="dcterms:W3CDTF">2025-07-07T02:46:09Z</dcterms:modified>
  <dc:title>附件2</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D29FC7E93D394C2B90EB48223E26DC50_13</vt:lpwstr>
  </property>
  <property fmtid="{D5CDD505-2E9C-101B-9397-08002B2CF9AE}" pid="4" name="KSOTemplateDocerSaveRecord">
    <vt:lpwstr>eyJoZGlkIjoiOWMyNjRkZTQzMzQxMTdhOWNiMjZhZThlMzJlMjAwMmEiLCJ1c2VySWQiOiI4OTAxMDgxMDgifQ==</vt:lpwstr>
  </property>
</Properties>
</file>